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15</w:t>
      </w:r>
    </w:p>
    <w:p>
      <w:pPr>
        <w:pStyle w:val="Title"/>
      </w:pPr>
      <w:r>
        <w:t>Wniosek o nakazanie zapłaty za dalsze naruszanie kontaktów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opiekuńczy, który wydał prawomocne zagrożenie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598¹⁶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zł; sprawdzić aktualną praktykę sądu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598¹⁶ KPC reguluje nakazanie zapłaty po dalszych naruszeniach obowiązków wynikających z orzeczenia lub ugody.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istnieje prawomocne postanowienie o zagrożeniu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 jego wydaniu wystąpiły dalsze naruszenia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można wykazać liczbę i okoliczności każdego naruszenia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datę prawomocności zagrożenia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wyłącznie naruszenia późniejsze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kwotę wynikającą z mnożenia sumy przez liczbę naruszeń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prawomocne postanowienie o zagrożeniu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chronologia późniejszych naruszeń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korespondencja i inne 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postanowienia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Bez wcześniejszego prawomocnego zagrożenia właściwy jest pierwszy etap z art. 598¹⁵ KPC.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opiekuńczy, który wydał prawomocne zagrożenie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NAKAZANIE ZAPŁATY ZA DALSZE NARUSZANIE KONTAKTÓW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nakazanie zapłaty łącznej kwoty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Postanowieniem z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 xml:space="preserve"> zagrożono kwotą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za naruszenie.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 tej dacie doszło do naruszeń </w:t>
      </w:r>
      <w:r>
        <w:rPr>
          <w:rFonts w:ascii="Liberation Serif" w:hAnsi="Liberation Serif"/>
          <w:b w:val="0"/>
          <w:color w:val="AA2332"/>
          <w:sz w:val="24"/>
        </w:rPr>
        <w:t>[chronologia]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Łączna kwota wynosi </w:t>
      </w:r>
      <w:r>
        <w:rPr>
          <w:rFonts w:ascii="Liberation Serif" w:hAnsi="Liberation Serif"/>
          <w:b w:val="0"/>
          <w:color w:val="AA2332"/>
          <w:sz w:val="24"/>
        </w:rPr>
        <w:t>[obliczenie]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prawomocne postanowienie o zagrożeniu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chronologia późniejszych naruszeń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korespondencja i inne dowody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postanowienia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