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14</w:t>
      </w:r>
    </w:p>
    <w:p>
      <w:pPr>
        <w:pStyle w:val="Title"/>
      </w:pPr>
      <w:r>
        <w:t>Wniosek o zagrożenie nakazaniem zapłaty za naruszanie kontaktów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opiekuńczy właściwy dla wykonywania kontaktów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598¹⁵ i 598¹⁹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100 zł; sprawdzić aktualną praktykę sądu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598¹⁵ KPC przewiduje pierwszy etap wykonania kontaktów: zagrożenie nakazaniem zapłaty oznaczonej sumy.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istnieje wykonalne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doszło do konkretnych naruszeń obowiązków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naruszenie można przypisać osobie zobowiązanej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treść wszystkich wcześniejszych orzeczeń i ugód dotyczących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miejsce zamieszkania dziecka oraz sąd właściwy według art. 569 KPC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rzeczywisty plan dnia dziecka, szkołę, leczenie, zajęcia i transport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konkretne daty zdarzeń oraz dowody dotyczące każdego istotnego faktu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 toczy się sprawa o rozwód lub separację, w której dane żądanie powinno zostać zgłoszone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dokładną treść wykonalnego obowiązku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osobny opis każdej daty naruszenia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sytuację majątkową osoby zobowiązanej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wykonalne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kalendarz naruszeń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korespondencja dotycząca każdej daty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sytuacji majątkowej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chronologia naruszeń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wniosku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Nie sumuj automatycznie nieudanych kontaktów. Każde zdarzenie wymaga osobnego opisu przyczyny i zachowania dorosłych.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Wnioskodawca/czyni: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opiekuńczy właściwy dla wykonywania kontaktów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WNIOSEK O ZAGROŻENIE NAKAZANIEM ZAPŁATY ZA NARUSZANIE KONTAKTÓW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zagrożenie nakazaniem zapłaty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za każde naruszenie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dopuszczenie wskazanych dowodów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3.  </w:t>
      </w:r>
      <w:r>
        <w:rPr>
          <w:rFonts w:ascii="Liberation Serif" w:hAnsi="Liberation Serif"/>
          <w:b w:val="0"/>
          <w:color w:val="AA2332"/>
          <w:sz w:val="24"/>
        </w:rPr>
        <w:t>[zwrot uzasadnionych wydatków po osobnej ocenie]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Kontakty uregulowano </w:t>
      </w:r>
      <w:r>
        <w:rPr>
          <w:rFonts w:ascii="Liberation Serif" w:hAnsi="Liberation Serif"/>
          <w:b w:val="0"/>
          <w:color w:val="AA2332"/>
          <w:sz w:val="24"/>
        </w:rPr>
        <w:t>[dane orzeczenia]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Naruszenia nastąpiły </w:t>
      </w:r>
      <w:r>
        <w:rPr>
          <w:rFonts w:ascii="Liberation Serif" w:hAnsi="Liberation Serif"/>
          <w:b w:val="0"/>
          <w:color w:val="AA2332"/>
          <w:sz w:val="24"/>
        </w:rPr>
        <w:t>[osobna chronologia]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Niewykonanie nie wynikało wyłącznie z samodzielnego zachowania dziecka, ponieważ </w:t>
      </w:r>
      <w:r>
        <w:rPr>
          <w:rFonts w:ascii="Liberation Serif" w:hAnsi="Liberation Serif"/>
          <w:b w:val="0"/>
          <w:color w:val="AA2332"/>
          <w:sz w:val="24"/>
        </w:rPr>
        <w:t>[fakty]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Wnioskowana suma uwzględnia sytuację majątkową uczestnika.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wykonalne orzeczenie lub ugoda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kalendarz naruszeń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korespondencja dotycząca każdej daty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dokumenty sytuacji majątkowej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orzeczenia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chronologia naruszeń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dowód opłaty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odpis wniosku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