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13</w:t>
      </w:r>
    </w:p>
    <w:p>
      <w:pPr>
        <w:pStyle w:val="Title"/>
      </w:pPr>
      <w:r>
        <w:t>Wniosek o zakazanie kontaktów z dzieckiem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Rejonowy miejsca zamieszkania lub pobytu dziecka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113³ KRO; art. 569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100 zł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113³ KRO: Jeżeli utrzymywanie kontaktów rodziców z dzieckiem poważnie zagraża dobru dziecka lub je narusza, sąd zakaże ich utrzymywania.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utrzymywanie kontaktów poważnie zagraża dobru dziecka lub je narusza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łagodniejsze środki są niewystarczające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potrzebne jest pilne zabezpieczenie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treść wszystkich wcześniejszych orzeczeń i ugód dotyczących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miejsce zamieszkania dziecka oraz sąd właściwy według art. 569 KPC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rzeczywisty plan dnia dziecka, szkołę, leczenie, zajęcia i transport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konkretne daty zdarzeń oraz dowody dotyczące każdego istotnego faktu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czy toczy się sprawa o rozwód lub separację, w której dane żądanie powinno zostać zgłoszone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zdarzenia spełniające wysoki próg poważnego zagrożenia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dlaczego ograniczenia z art. 113² KRO nie wystarczą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aktu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dotychczasowe orzeczenie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kalendarz kontaktów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ograniczony wybór korespondencji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szkoły lub leczenia tylko w niezbędnym zakresie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instytucji lub specjalistów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wniosku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Zakaz kontaktów jest środkiem wyjątkowym i wymaga wykazania szczególnie wysokiego poziomu zagrożenia.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Wnioskodawca/czyni: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miejsca zamieszkania lub pobytu dziecka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ZAKAZANIE KONTAKTÓW Z DZIECKIEM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zakazanie utrzymywania kontaktów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udzielenie zabezpieczenia przez zakaz na czas sprawy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dopuszczenie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Dotychczasowe kontakty wyglądały następująco: </w:t>
      </w:r>
      <w:r>
        <w:rPr>
          <w:rFonts w:ascii="Liberation Serif" w:hAnsi="Liberation Serif"/>
          <w:b w:val="0"/>
          <w:color w:val="AA2332"/>
          <w:sz w:val="24"/>
        </w:rPr>
        <w:t>[fakty]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Poważne zagrożenie wynika ze zdarzeń </w:t>
      </w:r>
      <w:r>
        <w:rPr>
          <w:rFonts w:ascii="Liberation Serif" w:hAnsi="Liberation Serif"/>
          <w:b w:val="0"/>
          <w:color w:val="AA2332"/>
          <w:sz w:val="24"/>
        </w:rPr>
        <w:t>[daty, skutki]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Łagodniejsze środki nie wystarczą, ponieważ </w:t>
      </w:r>
      <w:r>
        <w:rPr>
          <w:rFonts w:ascii="Liberation Serif" w:hAnsi="Liberation Serif"/>
          <w:b w:val="0"/>
          <w:color w:val="AA2332"/>
          <w:sz w:val="24"/>
        </w:rPr>
        <w:t>[wyjaśnienie]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aktu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dotychczasowe orzeczenie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kalendarz kontaktów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ograniczony wybór korespondencji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5.  dokumenty szkoły lub leczenia tylko w niezbędnym zakresie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6.  dokumenty instytucji lub specjalistów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wniosku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