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11</w:t>
      </w:r>
    </w:p>
    <w:p>
      <w:pPr>
        <w:pStyle w:val="Title"/>
      </w:pPr>
      <w:r>
        <w:t>Wniosek o zmianę kontaktów z dzieckiem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113⁵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113⁵ KRO pozwala sądowi zmienić rozstrzygnięcie o kontaktach, jeżeli wymaga tego dobro dziecka.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istnieje wcześniejsze rozstrzygnięcie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zmieniły się potrzeby dziecka, miejsce zamieszkania lub organizacja życia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dotychczasowy harmonogram nie służy już dobru dziecka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stan z chwili poprzedniego rozstrzygnięcia i konkretne późniejsze zmiany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szkoły lub leczenia tylko w niezbędnym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poprzedniego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nowy harmonogram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Nie żądaj zmiany wyłącznie z powodu konfliktu dorosłych. Wykaż zmianę istotną dla dobra dziecka.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ZMIANĘ KONTAKTÓW Z DZIECKIEM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zmiana kontaktów ustalonych </w:t>
      </w:r>
      <w:r>
        <w:rPr>
          <w:rFonts w:ascii="Liberation Serif" w:hAnsi="Liberation Serif"/>
          <w:b w:val="0"/>
          <w:color w:val="AA2332"/>
          <w:sz w:val="24"/>
        </w:rPr>
        <w:t>[dane orzeczenia]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ustalenie nowego dokładnego harmonogramu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udzielenie zabezpieczenia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Kontakty ustalono </w:t>
      </w:r>
      <w:r>
        <w:rPr>
          <w:rFonts w:ascii="Liberation Serif" w:hAnsi="Liberation Serif"/>
          <w:b w:val="0"/>
          <w:color w:val="AA2332"/>
          <w:sz w:val="24"/>
        </w:rPr>
        <w:t>[data, sąd, sygnatura]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Od tego czasu zmieniło się </w:t>
      </w:r>
      <w:r>
        <w:rPr>
          <w:rFonts w:ascii="Liberation Serif" w:hAnsi="Liberation Serif"/>
          <w:b w:val="0"/>
          <w:color w:val="AA2332"/>
          <w:sz w:val="24"/>
        </w:rPr>
        <w:t>[fakty i daty]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Dotychczasowy model powoduje </w:t>
      </w:r>
      <w:r>
        <w:rPr>
          <w:rFonts w:ascii="Liberation Serif" w:hAnsi="Liberation Serif"/>
          <w:b w:val="0"/>
          <w:color w:val="AA2332"/>
          <w:sz w:val="24"/>
        </w:rPr>
        <w:t>[skutki]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Nowy harmonogram odpowiada dobru dziecka, ponieważ </w:t>
      </w:r>
      <w:r>
        <w:rPr>
          <w:rFonts w:ascii="Liberation Serif" w:hAnsi="Liberation Serif"/>
          <w:b w:val="0"/>
          <w:color w:val="AA2332"/>
          <w:sz w:val="24"/>
        </w:rPr>
        <w:t>[wyjaśnienie]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dotychczasowe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kalendarz kontaktów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ograniczony wybór korespondencji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5.  dokumenty szkoły lub leczenia tylko w niezbędnym zakresie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poprzedniego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nowy harmonogram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