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0"/>
        <w:spacing w:before="0" w:after="80"/>
      </w:pPr>
      <w:r>
        <w:rPr>
          <w:rFonts w:ascii="Liberation Serif" w:hAnsi="Liberation Serif"/>
          <w:b/>
          <w:color w:val="1F4B43"/>
          <w:sz w:val="18"/>
        </w:rPr>
        <w:t>PRAWO RODZINNE  ·  WZÓR 07</w:t>
      </w:r>
    </w:p>
    <w:p>
      <w:pPr>
        <w:pStyle w:val="Title"/>
      </w:pPr>
      <w:r>
        <w:t>Pozew o podwyższenie alimentów</w:t>
      </w:r>
    </w:p>
    <w:p>
      <w:pPr>
        <w:keepNext w:val="0"/>
        <w:spacing w:before="0" w:after="200"/>
      </w:pPr>
      <w:r>
        <w:rPr>
          <w:rFonts w:ascii="Liberation Serif" w:hAnsi="Liberation Serif"/>
          <w:b w:val="0"/>
          <w:sz w:val="24"/>
        </w:rPr>
        <w:t>Wzór należy uzupełnić zgodnie z faktami i dokumentami własnej sprawy. Czerwone pola nie mogą pozostać w piśmie składanym do sądu.</w:t>
      </w:r>
    </w:p>
    <w:p>
      <w:pPr>
        <w:pStyle w:val="Heading1"/>
      </w:pPr>
      <w:r>
        <w:t>Najważniejsze informacje</w:t>
      </w:r>
    </w:p>
    <w:p>
      <w:pPr>
        <w:keepNext w:val="0"/>
        <w:spacing w:before="0" w:after="60"/>
      </w:pPr>
      <w:r>
        <w:rPr>
          <w:rFonts w:ascii="Liberation Serif" w:hAnsi="Liberation Serif"/>
          <w:b w:val="0"/>
          <w:sz w:val="24"/>
        </w:rPr>
        <w:t>Adresat: Sąd Rejonowy miejsca zamieszkania uprawnionego albo pozwanego</w:t>
      </w:r>
    </w:p>
    <w:p>
      <w:pPr>
        <w:keepNext w:val="0"/>
        <w:spacing w:before="0" w:after="60"/>
      </w:pPr>
      <w:r>
        <w:rPr>
          <w:rFonts w:ascii="Liberation Serif" w:hAnsi="Liberation Serif"/>
          <w:b w:val="0"/>
          <w:sz w:val="24"/>
        </w:rPr>
        <w:t>Podstawa: art. 138 w zw. z art. 133 i 135 KRO; art. 32 KPC</w:t>
      </w:r>
    </w:p>
    <w:p>
      <w:pPr>
        <w:keepNext w:val="0"/>
        <w:spacing w:before="0" w:after="160"/>
      </w:pPr>
      <w:r>
        <w:rPr>
          <w:rFonts w:ascii="Liberation Serif" w:hAnsi="Liberation Serif"/>
          <w:b w:val="0"/>
          <w:sz w:val="24"/>
        </w:rPr>
        <w:t>Opłata: uprawniony dochodzący alimentów jest zwolniony z kosztów</w:t>
      </w:r>
    </w:p>
    <w:p>
      <w:pPr>
        <w:pStyle w:val="Heading1"/>
      </w:pPr>
      <w:r>
        <w:t>Sens regulacji</w:t>
      </w:r>
    </w:p>
    <w:p>
      <w:pPr>
        <w:keepNext w:val="0"/>
        <w:spacing w:before="0" w:after="120"/>
        <w:jc w:val="both"/>
      </w:pPr>
      <w:r>
        <w:rPr>
          <w:rFonts w:ascii="Liberation Serif" w:hAnsi="Liberation Serif"/>
          <w:b w:val="0"/>
          <w:sz w:val="24"/>
        </w:rPr>
        <w:t>Art. 138 KRO: W razie zmiany stosunków można żądać zmiany orzeczenia lub umowy dotyczącej obowiązku alimentacyjnego.</w:t>
      </w:r>
    </w:p>
    <w:p>
      <w:pPr>
        <w:keepNext w:val="0"/>
        <w:spacing w:before="0" w:after="200"/>
      </w:pPr>
      <w:r>
        <w:rPr>
          <w:rFonts w:ascii="Liberation Serif" w:hAnsi="Liberation Serif"/>
          <w:b w:val="0"/>
          <w:sz w:val="18"/>
        </w:rPr>
        <w:t>Źródła urzędowe: Kodeks rodzinny i opiekuńczy — https://eli.gov.pl/eli/DU/2026/236/ogl; Kodeks postępowania cywilnego — https://eli.gov.pl/eli/DU/2026/468/ogl; ustawa o kosztach sądowych w sprawach cywilnych — https://eli.gov.pl/eli/DU/2025/1228/ogl.</w:t>
      </w:r>
    </w:p>
    <w:p>
      <w:pPr>
        <w:pStyle w:val="Heading1"/>
      </w:pPr>
      <w:r>
        <w:t>Kiedy ten wzór może być użyteczny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•  istnieje wcześniejszy wyrok lub ugoda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•  istotnie wzrosły potrzeby uprawnionego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•  zmieniły się możliwości zobowiązanego</w:t>
      </w:r>
    </w:p>
    <w:p>
      <w:pPr>
        <w:pStyle w:val="Heading1"/>
      </w:pPr>
      <w:r>
        <w:t>Co trzeba ustalić przed wypełnieniem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•  stan z chwili poprzedniego orzeczenia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•  aktualny kosztorys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•  konkretną zmianę potrzeb lub możliwości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•  roczną wartość różnicy jako WPS</w:t>
      </w:r>
    </w:p>
    <w:p>
      <w:pPr>
        <w:pStyle w:val="Heading1"/>
      </w:pPr>
      <w:r>
        <w:t>Jak ustalić sąd i sygnaturę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•  Jeżeli sprawa już się toczy, przepisz sygnaturę dokładnie z pierwszej strony pisma sądu. Nie zgaduj jej i nie twórz samodzielnie.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•  Jeżeli to pierwsze pismo, sygnatury jeszcze nie ma. Sąd nada ją po zarejestrowaniu sprawy.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•  W sprawach dotyczących dziecka właściwy jest co do zasady sąd rodzinny miejsca jego zamieszkania lub pobytu. W rozwodzie właściwość określa art. 41 KPC.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•  Nazwę, wydział i adres sprawdź w oficjalnej wyszukiwarce sądów albo telefonicznie w Biurze Obsługi Interesanta.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•  Jeżeli równolegle toczy się rozwód lub separacja, sprawdź, czy żądanie nie powinno być zgłoszone w tamtej sprawie.</w:t>
      </w:r>
    </w:p>
    <w:p>
      <w:pPr>
        <w:pStyle w:val="Heading1"/>
      </w:pPr>
      <w:r>
        <w:t>Najczęściej potrzebne dowody i załączniki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•  poprzedni wyrok lub ugoda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•  porównawcze zestawienie kosztów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•  aktualne rachunki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•  dokumenty dochodowe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•  odpis poprzedniego tytułu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•  zestawienie porównawcze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•  odpis pozwu i załączników</w:t>
      </w:r>
    </w:p>
    <w:p>
      <w:pPr>
        <w:pStyle w:val="Heading1"/>
      </w:pPr>
      <w:r>
        <w:t>Ważna granica</w:t>
      </w:r>
    </w:p>
    <w:p>
      <w:pPr>
        <w:keepNext w:val="0"/>
        <w:spacing w:before="0" w:after="120"/>
        <w:jc w:val="both"/>
      </w:pPr>
      <w:r>
        <w:rPr>
          <w:rFonts w:ascii="Liberation Serif" w:hAnsi="Liberation Serif"/>
          <w:b w:val="0"/>
          <w:sz w:val="24"/>
        </w:rPr>
        <w:t>Sama inflacja lub upływ czasu nie zastępują porównania dwóch konkretnych stanów faktycznych.</w:t>
      </w:r>
    </w:p>
    <w:p>
      <w:pPr>
        <w:pStyle w:val="Heading1"/>
      </w:pPr>
      <w:r>
        <w:t>Kontrola przed złożeniem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•  □ wszystkie czerwone pola zostały uzupełnione albo usunięte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•  □ żądanie jest jednoznaczne i zgodne z uzasadnieniem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•  □ każdy istotny fakt połączono z konkretnym dowodem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•  □ dołączono wymagane odpisy, załączniki i dowód opłaty albo wskazano zwolnienie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•  □ pismo zostało podpisane, a składający zachował kopię i dowód wniesienia</w:t>
      </w:r>
    </w:p>
    <w:p>
      <w:r>
        <w:br w:type="page"/>
      </w:r>
    </w:p>
    <w:p>
      <w:pPr>
        <w:keepNext w:val="0"/>
        <w:spacing w:before="0" w:after="160"/>
        <w:ind w:left="5102"/>
        <w:jc w:val="right"/>
      </w:pPr>
      <w:r>
        <w:rPr>
          <w:rFonts w:ascii="Liberation Serif" w:hAnsi="Liberation Serif"/>
          <w:b w:val="0"/>
          <w:color w:val="AA2332"/>
          <w:sz w:val="24"/>
        </w:rPr>
        <w:t>[miejscowość]</w:t>
      </w:r>
      <w:r>
        <w:rPr>
          <w:rFonts w:ascii="Liberation Serif" w:hAnsi="Liberation Serif"/>
          <w:b w:val="0"/>
          <w:sz w:val="24"/>
        </w:rPr>
        <w:t xml:space="preserve">, dnia </w:t>
      </w:r>
      <w:r>
        <w:rPr>
          <w:rFonts w:ascii="Liberation Serif" w:hAnsi="Liberation Serif"/>
          <w:b w:val="0"/>
          <w:color w:val="AA2332"/>
          <w:sz w:val="24"/>
        </w:rPr>
        <w:t>[data]</w:t>
      </w:r>
    </w:p>
    <w:p>
      <w:pPr>
        <w:keepNext w:val="0"/>
        <w:spacing w:before="0" w:after="160"/>
        <w:ind w:right="4252"/>
        <w:jc w:val="left"/>
      </w:pPr>
      <w:r>
        <w:rPr>
          <w:rFonts w:ascii="Liberation Serif" w:hAnsi="Liberation Serif"/>
          <w:b w:val="0"/>
          <w:sz w:val="24"/>
        </w:rPr>
        <w:t>Powód/ka:</w:t>
        <w:br/>
      </w:r>
      <w:r>
        <w:rPr>
          <w:rFonts w:ascii="Liberation Serif" w:hAnsi="Liberation Serif"/>
          <w:b w:val="0"/>
          <w:color w:val="AA2332"/>
          <w:sz w:val="24"/>
        </w:rPr>
        <w:t>[imię i nazwisko, adres, PESEL]</w:t>
      </w:r>
      <w:r>
        <w:rPr>
          <w:rFonts w:ascii="Liberation Serif" w:hAnsi="Liberation Serif"/>
          <w:b w:val="0"/>
          <w:sz w:val="24"/>
        </w:rPr>
        <w:br/>
      </w:r>
      <w:r>
        <w:rPr>
          <w:rFonts w:ascii="Liberation Serif" w:hAnsi="Liberation Serif"/>
          <w:b w:val="0"/>
          <w:color w:val="AA2332"/>
          <w:sz w:val="24"/>
        </w:rPr>
        <w:t>[druga strona albo uczestnik: imię, nazwisko, adres]</w:t>
      </w:r>
      <w:r>
        <w:rPr>
          <w:rFonts w:ascii="Liberation Serif" w:hAnsi="Liberation Serif"/>
          <w:b w:val="0"/>
          <w:sz w:val="24"/>
        </w:rPr>
        <w:br/>
        <w:t xml:space="preserve">Sygnatura akt: </w:t>
      </w:r>
      <w:r>
        <w:rPr>
          <w:rFonts w:ascii="Liberation Serif" w:hAnsi="Liberation Serif"/>
          <w:b w:val="0"/>
          <w:color w:val="AA2332"/>
          <w:sz w:val="24"/>
        </w:rPr>
        <w:t>[jeżeli sprawa już się toczy]</w:t>
      </w:r>
    </w:p>
    <w:p>
      <w:pPr>
        <w:keepNext w:val="0"/>
        <w:spacing w:before="0" w:after="240"/>
        <w:ind w:left="4535"/>
        <w:jc w:val="right"/>
      </w:pPr>
      <w:r>
        <w:rPr>
          <w:rFonts w:ascii="Liberation Serif" w:hAnsi="Liberation Serif"/>
          <w:b w:val="0"/>
          <w:sz w:val="24"/>
        </w:rPr>
        <w:t>Do:</w:t>
        <w:br/>
        <w:t>Sąd Rejonowy miejsca zamieszkania uprawnionego albo pozwanego</w:t>
      </w:r>
    </w:p>
    <w:p>
      <w:pPr>
        <w:keepNext w:val="0"/>
        <w:spacing w:before="0" w:after="200"/>
        <w:jc w:val="center"/>
      </w:pPr>
      <w:r>
        <w:rPr>
          <w:rFonts w:ascii="Liberation Serif" w:hAnsi="Liberation Serif"/>
          <w:b/>
          <w:sz w:val="24"/>
        </w:rPr>
        <w:t>POZEW O PODWYŻSZENIE ALIMENTÓW</w:t>
      </w:r>
    </w:p>
    <w:p>
      <w:pPr>
        <w:keepNext w:val="0"/>
        <w:spacing w:before="0" w:after="80"/>
        <w:jc w:val="both"/>
      </w:pPr>
      <w:r>
        <w:rPr>
          <w:rFonts w:ascii="Liberation Serif" w:hAnsi="Liberation Serif"/>
          <w:b/>
          <w:sz w:val="24"/>
        </w:rPr>
        <w:t>Wnoszę o: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 xml:space="preserve">1.  podwyższenie alimentów z </w:t>
      </w:r>
      <w:r>
        <w:rPr>
          <w:rFonts w:ascii="Liberation Serif" w:hAnsi="Liberation Serif"/>
          <w:b w:val="0"/>
          <w:color w:val="AA2332"/>
          <w:sz w:val="24"/>
        </w:rPr>
        <w:t>[kwota]</w:t>
      </w:r>
      <w:r>
        <w:rPr>
          <w:rFonts w:ascii="Liberation Serif" w:hAnsi="Liberation Serif"/>
          <w:b w:val="0"/>
          <w:sz w:val="24"/>
        </w:rPr>
        <w:t xml:space="preserve"> zł do </w:t>
      </w:r>
      <w:r>
        <w:rPr>
          <w:rFonts w:ascii="Liberation Serif" w:hAnsi="Liberation Serif"/>
          <w:b w:val="0"/>
          <w:color w:val="AA2332"/>
          <w:sz w:val="24"/>
        </w:rPr>
        <w:t>[kwota]</w:t>
      </w:r>
      <w:r>
        <w:rPr>
          <w:rFonts w:ascii="Liberation Serif" w:hAnsi="Liberation Serif"/>
          <w:b w:val="0"/>
          <w:sz w:val="24"/>
        </w:rPr>
        <w:t xml:space="preserve"> zł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 xml:space="preserve">2.  udzielenie zabezpieczenia w kwocie </w:t>
      </w:r>
      <w:r>
        <w:rPr>
          <w:rFonts w:ascii="Liberation Serif" w:hAnsi="Liberation Serif"/>
          <w:b w:val="0"/>
          <w:color w:val="AA2332"/>
          <w:sz w:val="24"/>
        </w:rPr>
        <w:t>[kwota]</w:t>
      </w:r>
      <w:r>
        <w:rPr>
          <w:rFonts w:ascii="Liberation Serif" w:hAnsi="Liberation Serif"/>
          <w:b w:val="0"/>
          <w:sz w:val="24"/>
        </w:rPr>
        <w:t xml:space="preserve"> zł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3.  dopuszczenie wskazanych dowodów</w:t>
      </w:r>
    </w:p>
    <w:p>
      <w:pPr>
        <w:pStyle w:val="Heading2"/>
      </w:pPr>
      <w:r>
        <w:t>Uzasadnienie</w:t>
      </w:r>
    </w:p>
    <w:p>
      <w:pPr>
        <w:keepNext w:val="0"/>
        <w:spacing w:before="0" w:after="160"/>
        <w:jc w:val="both"/>
      </w:pPr>
      <w:r>
        <w:rPr>
          <w:rFonts w:ascii="Liberation Serif" w:hAnsi="Liberation Serif"/>
          <w:b w:val="0"/>
          <w:sz w:val="24"/>
        </w:rPr>
        <w:t xml:space="preserve">Alimenty ustalono </w:t>
      </w:r>
      <w:r>
        <w:rPr>
          <w:rFonts w:ascii="Liberation Serif" w:hAnsi="Liberation Serif"/>
          <w:b w:val="0"/>
          <w:color w:val="AA2332"/>
          <w:sz w:val="24"/>
        </w:rPr>
        <w:t>[orzeczenie, data, sygnatura]</w:t>
      </w:r>
      <w:r>
        <w:rPr>
          <w:rFonts w:ascii="Liberation Serif" w:hAnsi="Liberation Serif"/>
          <w:b w:val="0"/>
          <w:sz w:val="24"/>
        </w:rPr>
        <w:t>.</w:t>
      </w:r>
    </w:p>
    <w:p>
      <w:pPr>
        <w:keepNext w:val="0"/>
        <w:spacing w:before="0" w:after="160"/>
        <w:jc w:val="both"/>
      </w:pPr>
      <w:r>
        <w:rPr>
          <w:rFonts w:ascii="Liberation Serif" w:hAnsi="Liberation Serif"/>
          <w:b w:val="0"/>
          <w:sz w:val="24"/>
        </w:rPr>
        <w:t xml:space="preserve">Wówczas sytuacja wyglądała następująco: </w:t>
      </w:r>
      <w:r>
        <w:rPr>
          <w:rFonts w:ascii="Liberation Serif" w:hAnsi="Liberation Serif"/>
          <w:b w:val="0"/>
          <w:color w:val="AA2332"/>
          <w:sz w:val="24"/>
        </w:rPr>
        <w:t>[fakty i kwoty]</w:t>
      </w:r>
      <w:r>
        <w:rPr>
          <w:rFonts w:ascii="Liberation Serif" w:hAnsi="Liberation Serif"/>
          <w:b w:val="0"/>
          <w:sz w:val="24"/>
        </w:rPr>
        <w:t>.</w:t>
      </w:r>
    </w:p>
    <w:p>
      <w:pPr>
        <w:keepNext w:val="0"/>
        <w:spacing w:before="0" w:after="160"/>
        <w:jc w:val="both"/>
      </w:pPr>
      <w:r>
        <w:rPr>
          <w:rFonts w:ascii="Liberation Serif" w:hAnsi="Liberation Serif"/>
          <w:b w:val="0"/>
          <w:sz w:val="24"/>
        </w:rPr>
        <w:t xml:space="preserve">Od tego czasu zmieniło się </w:t>
      </w:r>
      <w:r>
        <w:rPr>
          <w:rFonts w:ascii="Liberation Serif" w:hAnsi="Liberation Serif"/>
          <w:b w:val="0"/>
          <w:color w:val="AA2332"/>
          <w:sz w:val="24"/>
        </w:rPr>
        <w:t>[chronologia]</w:t>
      </w:r>
      <w:r>
        <w:rPr>
          <w:rFonts w:ascii="Liberation Serif" w:hAnsi="Liberation Serif"/>
          <w:b w:val="0"/>
          <w:sz w:val="24"/>
        </w:rPr>
        <w:t>.</w:t>
      </w:r>
    </w:p>
    <w:p>
      <w:pPr>
        <w:keepNext w:val="0"/>
        <w:spacing w:before="0" w:after="160"/>
        <w:jc w:val="both"/>
      </w:pPr>
      <w:r>
        <w:rPr>
          <w:rFonts w:ascii="Liberation Serif" w:hAnsi="Liberation Serif"/>
          <w:b w:val="0"/>
          <w:sz w:val="24"/>
        </w:rPr>
        <w:t xml:space="preserve">Żądana różnica odpowiada zmianie potrzeb i możliwości, ponieważ </w:t>
      </w:r>
      <w:r>
        <w:rPr>
          <w:rFonts w:ascii="Liberation Serif" w:hAnsi="Liberation Serif"/>
          <w:b w:val="0"/>
          <w:color w:val="AA2332"/>
          <w:sz w:val="24"/>
        </w:rPr>
        <w:t>[obliczenie]</w:t>
      </w:r>
      <w:r>
        <w:rPr>
          <w:rFonts w:ascii="Liberation Serif" w:hAnsi="Liberation Serif"/>
          <w:b w:val="0"/>
          <w:sz w:val="24"/>
        </w:rPr>
        <w:t>.</w:t>
      </w:r>
    </w:p>
    <w:p>
      <w:pPr>
        <w:pStyle w:val="Heading2"/>
      </w:pPr>
      <w:r>
        <w:t>Dowody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1.  poprzedni wyrok lub ugoda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2.  porównawcze zestawienie kosztów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3.  aktualne rachunki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4.  dokumenty dochodowe</w:t>
      </w:r>
    </w:p>
    <w:p>
      <w:pPr>
        <w:keepNext w:val="0"/>
        <w:spacing w:before="200" w:after="160"/>
        <w:jc w:val="right"/>
      </w:pPr>
      <w:r>
        <w:rPr>
          <w:rFonts w:ascii="Liberation Serif" w:hAnsi="Liberation Serif"/>
          <w:b w:val="0"/>
          <w:color w:val="AA2332"/>
          <w:sz w:val="24"/>
        </w:rPr>
        <w:t>[czytelny podpis / podpis pełnomocnika]</w:t>
      </w:r>
    </w:p>
    <w:p>
      <w:pPr>
        <w:pStyle w:val="Heading2"/>
      </w:pPr>
      <w:r>
        <w:t>Załączniki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1.  odpis poprzedniego tytułu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2.  zestawienie porównawcze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3.  odpis pozwu i załączników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020" w:right="1247" w:bottom="964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Liberation Sans" w:hAnsi="Liberation Sans"/>
        <w:color w:val="545E5D"/>
        <w:sz w:val="16"/>
      </w:rPr>
      <w:t xml:space="preserve">Materiał ogólny · stan prawny zweryfikowany 28 października 2026 r. · nie zastępuje analizy konkretnej sprawy  |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Liberation Sans" w:hAnsi="Liberation Sans"/>
        <w:b/>
        <w:color w:val="1F4B43"/>
        <w:sz w:val="17"/>
      </w:rPr>
      <w:t>KANCELARIA ADWOKACKA  ·  ADW. ANNA MARCINKOWSKA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Liberation Serif" w:hAnsi="Liberation Serif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20"/>
      <w:outlineLvl w:val="0"/>
    </w:pPr>
    <w:rPr>
      <w:rFonts w:asciiTheme="majorHAnsi" w:eastAsiaTheme="majorEastAsia" w:hAnsiTheme="majorHAnsi" w:cstheme="majorBidi" w:ascii="Liberation Sans" w:hAnsi="Liberation Sans"/>
      <w:b/>
      <w:bCs/>
      <w:color w:val="000000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Liberation Sans" w:hAnsi="Liberation Sans"/>
      <w:b/>
      <w:bCs/>
      <w:color w:val="000000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Liberation Sans" w:hAnsi="Liberation Sans"/>
      <w:b w:val="0"/>
      <w:color w:val="000000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