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04</w:t>
      </w:r>
    </w:p>
    <w:p>
      <w:pPr>
        <w:pStyle w:val="Title"/>
      </w:pPr>
      <w:r>
        <w:t>Wniosek o zabezpieczenie w sprawie rozwodowej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Okręgowy prowadzący sprawę rozwodową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730, 730¹, 753 i 755 KPC; art. 445 i 445¹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sprawdzić zależnie od chwili i sposobu wniesienia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755 KPC pozwala sądowi unormować prawa i obowiązki stron na czas postępowania.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 czas procesu trzeba pilnie uregulować alimenty, pieczę lub kontakty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brak reguł destabilizuje sytuację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jedna ze stron nie przekazuje środków na bieżące potrzeby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dokładny harmonogram albo kwotę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fakty uzasadniające pilność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dotychczasowy model opieki i płatności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wykonalny sposób przekazywania dziecka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z aktualnej sprawy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zestawienie kosztów i reprezentatywne rachunki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kalendarz opieki lub kontaktów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korespondencja dokumentująca pilność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wniosku z załącznikami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Zabezpieczenie jest rozstrzygnięciem tymczasowym. Żądanie musi być dokładne i możliwe do wykonania od dnia wydania postanowienia.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Powód/ka: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Okręgowy prowadzący sprawę rozwodową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WNIOSEK O ZABEZPIECZENIE W SPRAWIE ROZWODOWEJ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1.  udzielenie zabezpieczenia przez </w:t>
      </w:r>
      <w:r>
        <w:rPr>
          <w:rFonts w:ascii="Liberation Serif" w:hAnsi="Liberation Serif"/>
          <w:b w:val="0"/>
          <w:color w:val="AA2332"/>
          <w:sz w:val="24"/>
        </w:rPr>
        <w:t>[dokładne rozstrzygnięcie]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2.  </w:t>
      </w:r>
      <w:r>
        <w:rPr>
          <w:rFonts w:ascii="Liberation Serif" w:hAnsi="Liberation Serif"/>
          <w:b w:val="0"/>
          <w:color w:val="AA2332"/>
          <w:sz w:val="24"/>
        </w:rPr>
        <w:t>[kwota alimentów]</w:t>
      </w:r>
      <w:r>
        <w:rPr>
          <w:rFonts w:ascii="Liberation Serif" w:hAnsi="Liberation Serif"/>
          <w:b w:val="0"/>
          <w:sz w:val="24"/>
        </w:rPr>
        <w:t xml:space="preserve"> płatna do </w:t>
      </w:r>
      <w:r>
        <w:rPr>
          <w:rFonts w:ascii="Liberation Serif" w:hAnsi="Liberation Serif"/>
          <w:b w:val="0"/>
          <w:color w:val="AA2332"/>
          <w:sz w:val="24"/>
        </w:rPr>
        <w:t>[dzień]</w:t>
      </w:r>
      <w:r>
        <w:rPr>
          <w:rFonts w:ascii="Liberation Serif" w:hAnsi="Liberation Serif"/>
          <w:b w:val="0"/>
          <w:sz w:val="24"/>
        </w:rPr>
        <w:t xml:space="preserve"> miesiąca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rozpoznanie wniosku niezwłocznie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dopuszczenie wskazanych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Sprawa toczy się pod sygnaturą </w:t>
      </w:r>
      <w:r>
        <w:rPr>
          <w:rFonts w:ascii="Liberation Serif" w:hAnsi="Liberation Serif"/>
          <w:b w:val="0"/>
          <w:color w:val="AA2332"/>
          <w:sz w:val="24"/>
        </w:rPr>
        <w:t>[sygnatura]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Obecna sytuacja wygląda następująco: </w:t>
      </w:r>
      <w:r>
        <w:rPr>
          <w:rFonts w:ascii="Liberation Serif" w:hAnsi="Liberation Serif"/>
          <w:b w:val="0"/>
          <w:color w:val="AA2332"/>
          <w:sz w:val="24"/>
        </w:rPr>
        <w:t>[fakty]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Bez zabezpieczenia wystąpi </w:t>
      </w:r>
      <w:r>
        <w:rPr>
          <w:rFonts w:ascii="Liberation Serif" w:hAnsi="Liberation Serif"/>
          <w:b w:val="0"/>
          <w:color w:val="AA2332"/>
          <w:sz w:val="24"/>
        </w:rPr>
        <w:t>[konkretne ryzyko]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Żądany sposób jest wykonalny, ponieważ </w:t>
      </w:r>
      <w:r>
        <w:rPr>
          <w:rFonts w:ascii="Liberation Serif" w:hAnsi="Liberation Serif"/>
          <w:b w:val="0"/>
          <w:color w:val="AA2332"/>
          <w:sz w:val="24"/>
        </w:rPr>
        <w:t>[plan i organizacja]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dokumenty z aktualnej sprawy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zestawienie kosztów i reprezentatywne rachunki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kalendarz opieki lub kontaktów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korespondencja dokumentująca pilność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odpis wniosku z załącznikami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