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  <w:keepNext/>
        <w:spacing w:before="0"/>
      </w:pPr>
      <w:r>
        <w:rPr>
          <w:b w:val="0"/>
          <w:i w:val="0"/>
        </w:rPr>
        <w:t>PRAWO KARNE · PRZEWODNIK</w:t>
      </w:r>
    </w:p>
    <w:p>
      <w:pPr>
        <w:pStyle w:val="Title"/>
        <w:keepNext/>
        <w:spacing w:before="0"/>
      </w:pPr>
      <w:r>
        <w:rPr>
          <w:b w:val="0"/>
          <w:i w:val="0"/>
        </w:rPr>
        <w:t>Jak wybrać i poprawnie wypełnić pismo podejrzanego lub oskarżonego</w:t>
      </w:r>
    </w:p>
    <w:p>
      <w:pPr>
        <w:pStyle w:val="Pismo–treść"/>
        <w:spacing w:before="0" w:after="240"/>
      </w:pPr>
      <w:r>
        <w:rPr>
          <w:b w:val="0"/>
          <w:i w:val="0"/>
        </w:rPr>
        <w:t>Ten przewodnik pomaga rozpoznać etap sprawy, znaleźć sygnaturę, ustalić adresata, policzyć termin i uniknąć złożenia pustego szablonu.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Najpierw ustal swoją rolę</w:t>
      </w:r>
    </w:p>
    <w:p>
      <w:pPr>
        <w:pStyle w:val="Instrukcja–punkt"/>
        <w:spacing w:before="0"/>
      </w:pPr>
      <w:r>
        <w:rPr>
          <w:b w:val="0"/>
          <w:i w:val="0"/>
        </w:rPr>
        <w:t>•  Osoba podejrzana nie zawsze jest jeszcze podejrzanym w rozumieniu KPK. Podejrzanym staje się co do zasady osoba, wobec której wydano postanowienie o przedstawieniu zarzutów albo której postawiono zarzut w przewidzianym trybie.</w:t>
      </w:r>
    </w:p>
    <w:p>
      <w:pPr>
        <w:pStyle w:val="Instrukcja–punkt"/>
        <w:spacing w:before="0"/>
      </w:pPr>
      <w:r>
        <w:rPr>
          <w:b w:val="0"/>
          <w:i w:val="0"/>
        </w:rPr>
        <w:t>•  Po wniesieniu aktu oskarżenia używa się określenia oskarżony. Ta sama osoba może mieć w aktach różne oznaczenia na kolejnych etapach.</w:t>
      </w:r>
    </w:p>
    <w:p>
      <w:pPr>
        <w:pStyle w:val="Instrukcja–punkt"/>
        <w:spacing w:before="0"/>
      </w:pPr>
      <w:r>
        <w:rPr>
          <w:b w:val="0"/>
          <w:i w:val="0"/>
        </w:rPr>
        <w:t>•  Nie podpisuj pisma jako pokrzywdzony, oskarżyciel posiłkowy ani pełnomocnik, jeżeli nie występujesz w tej roli.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Jak znaleźć sygnaturę</w:t>
      </w:r>
    </w:p>
    <w:p>
      <w:pPr>
        <w:pStyle w:val="Instrukcja–punkt"/>
        <w:spacing w:before="0"/>
      </w:pPr>
      <w:r>
        <w:rPr>
          <w:b w:val="0"/>
          <w:i w:val="0"/>
        </w:rPr>
        <w:t>•  Sygnaturę przepisz z pierwszej strony pisma otrzymanego z sądu, prokuratury albo Policji. Nie przepisuj numeru z koperty, potwierdzenia nadania, numeru przesyłki ani numeru protokołu jako sygnatury sprawy.</w:t>
      </w:r>
    </w:p>
    <w:p>
      <w:pPr>
        <w:pStyle w:val="Instrukcja–punkt"/>
        <w:spacing w:before="0"/>
      </w:pPr>
      <w:r>
        <w:rPr>
          <w:b w:val="0"/>
          <w:i w:val="0"/>
        </w:rPr>
        <w:t>•  W postępowaniu przygotowawczym szukaj oznaczeń takich jak „PR”, „Ds.” lub „RSD”. Sygnatura prokuratorska znajduje się zwykle przy nazwie jednostki albo w nagłówku postanowienia, wezwania lub zawiadomienia.</w:t>
      </w:r>
    </w:p>
    <w:p>
      <w:pPr>
        <w:pStyle w:val="Instrukcja–punkt"/>
        <w:spacing w:before="0"/>
      </w:pPr>
      <w:r>
        <w:rPr>
          <w:b w:val="0"/>
          <w:i w:val="0"/>
        </w:rPr>
        <w:t>•  W postępowaniu sądowym sygnatura zawiera zwykle oznaczenie wydziału i repertorium, na przykład „IV K”, „V Kz” albo „VI Kow”. Jeżeli sprawa ma kilka etapów, każde postępowanie może mieć inną sygnaturę.</w:t>
      </w:r>
    </w:p>
    <w:p>
      <w:pPr>
        <w:pStyle w:val="Instrukcja–punkt"/>
        <w:spacing w:before="0"/>
      </w:pPr>
      <w:r>
        <w:rPr>
          <w:b w:val="0"/>
          <w:i w:val="0"/>
        </w:rPr>
        <w:t>•  Aby ustalić organ prowadzący sprawę, sprawdź ostatnie otrzymane pismo. Gdy go nie masz, skontaktuj się z jednostką, która wykonywała ostatnią czynność, i podaj imię, nazwisko, PESEL oraz przybliżoną datę zdarzenia.</w:t>
      </w:r>
    </w:p>
    <w:p>
      <w:pPr>
        <w:pStyle w:val="Instrukcja–punkt"/>
        <w:spacing w:before="0"/>
      </w:pPr>
      <w:r>
        <w:rPr>
          <w:b w:val="0"/>
          <w:i w:val="0"/>
        </w:rPr>
        <w:t>•  Nazwisko prokuratora wpisuj tylko wtedy, gdy wynika z pisma i ma znaczenie dla oznaczenia sprawy. Co do zasady adresatem jest jednostka prokuratury, a nie prywatnie konkretny prokurator.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Jak ustalić adresata</w:t>
      </w:r>
    </w:p>
    <w:p>
      <w:pPr>
        <w:pStyle w:val="Instrukcja–punkt"/>
        <w:spacing w:before="0"/>
      </w:pPr>
      <w:r>
        <w:rPr>
          <w:b w:val="0"/>
          <w:i w:val="0"/>
        </w:rPr>
        <w:t>•  Przeczytaj nagłówek i pouczenie ostatniego pisma. W postępowaniu przygotowawczym adresatem bywa prokurator lub inny organ, a po wniesieniu aktu oskarżenia — sąd.</w:t>
      </w:r>
    </w:p>
    <w:p>
      <w:pPr>
        <w:pStyle w:val="Instrukcja–punkt"/>
        <w:spacing w:before="0"/>
      </w:pPr>
      <w:r>
        <w:rPr>
          <w:b w:val="0"/>
          <w:i w:val="0"/>
        </w:rPr>
        <w:t>•  Jeżeli środek zaskarżenia wnosi się „za pośrednictwem” innego organu, na pierwszym miejscu oznacz sąd właściwy do rozpoznania, a poniżej organ, przez który pismo ma zostać przekazane.</w:t>
      </w:r>
    </w:p>
    <w:p>
      <w:pPr>
        <w:pStyle w:val="Instrukcja–punkt"/>
        <w:spacing w:before="0"/>
      </w:pPr>
      <w:r>
        <w:rPr>
          <w:b w:val="0"/>
          <w:i w:val="0"/>
        </w:rPr>
        <w:t>•  Nie adresuj pisma jednocześnie do kilku organów „na wszelki wypadek”. Jeżeli masz wątpliwość, ustal etap sprawy przed wysłaniem.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Jak liczyć termin</w:t>
      </w:r>
    </w:p>
    <w:p>
      <w:pPr>
        <w:pStyle w:val="Instrukcja–punkt"/>
        <w:spacing w:before="0"/>
      </w:pPr>
      <w:r>
        <w:rPr>
          <w:b w:val="0"/>
          <w:i w:val="0"/>
        </w:rPr>
        <w:t>•  Sprawdź, czy termin biegnie od ogłoszenia, doręczenia, odebrania pisma albo ustania przeszkody. To różne zdarzenia.</w:t>
      </w:r>
    </w:p>
    <w:p>
      <w:pPr>
        <w:pStyle w:val="Instrukcja–punkt"/>
        <w:spacing w:before="0"/>
      </w:pPr>
      <w:r>
        <w:rPr>
          <w:b w:val="0"/>
          <w:i w:val="0"/>
        </w:rPr>
        <w:t>•  Zachowaj kopertę, urzędowe poświadczenie odbioru, potwierdzenie z portalu i własną notatkę o dacie odbioru.</w:t>
      </w:r>
    </w:p>
    <w:p>
      <w:pPr>
        <w:pStyle w:val="Instrukcja–punkt"/>
        <w:spacing w:before="0"/>
      </w:pPr>
      <w:r>
        <w:rPr>
          <w:b w:val="0"/>
          <w:i w:val="0"/>
        </w:rPr>
        <w:t>•  Przywrócenie terminu jest wyjątkiem. Wymaga przyczyny niezależnej, wniosku w ciągu 7 dni od ustania przeszkody i jednoczesnego wykonania pominiętej czynności.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Jak korzystać z czerwonych pól</w:t>
      </w:r>
    </w:p>
    <w:p>
      <w:pPr>
        <w:pStyle w:val="Instrukcja–punkt"/>
        <w:spacing w:before="0"/>
      </w:pPr>
      <w:r>
        <w:rPr>
          <w:b w:val="0"/>
          <w:i w:val="0"/>
        </w:rPr>
        <w:t>•  Każdy tekst w nawiasie kwadratowym jest instrukcją. Zastąp go prawdziwą informacją albo usuń cały niepotrzebny wariant.</w:t>
      </w:r>
    </w:p>
    <w:p>
      <w:pPr>
        <w:pStyle w:val="Instrukcja–punkt"/>
        <w:spacing w:before="0"/>
      </w:pPr>
      <w:r>
        <w:rPr>
          <w:b w:val="0"/>
          <w:i w:val="0"/>
        </w:rPr>
        <w:t>•  Nie składaj dokumentu ze słowami „WYPEŁNIJ”, przykładowym numerem PESEL, fikcyjną sygnaturą ani opisem przykładu.</w:t>
      </w:r>
    </w:p>
    <w:p>
      <w:pPr>
        <w:pStyle w:val="Instrukcja–punkt"/>
        <w:spacing w:before="0"/>
      </w:pPr>
      <w:r>
        <w:rPr>
          <w:b w:val="0"/>
          <w:i w:val="0"/>
        </w:rPr>
        <w:t>•  Jeżeli pola nie dotyczą sprawy, usuń je. Nie zostawiaj kilku sprzecznych żądań oddzielonych ukośnikiem.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Jak pisać uzasadnienie</w:t>
      </w:r>
    </w:p>
    <w:p>
      <w:pPr>
        <w:pStyle w:val="Instrukcja–punkt"/>
        <w:spacing w:before="0"/>
      </w:pPr>
      <w:r>
        <w:rPr>
          <w:b w:val="0"/>
          <w:i w:val="0"/>
        </w:rPr>
        <w:t>•  Zacznij od chronologii: co się wydarzyło, kiedy, kto o tym wie i jaki dokument to potwierdza.</w:t>
      </w:r>
    </w:p>
    <w:p>
      <w:pPr>
        <w:pStyle w:val="Instrukcja–punkt"/>
        <w:spacing w:before="0"/>
      </w:pPr>
      <w:r>
        <w:rPr>
          <w:b w:val="0"/>
          <w:i w:val="0"/>
        </w:rPr>
        <w:t>•  Oddziel fakt od oceny. Zamiast „Policja bezprawnie mnie przetrzymywała” podaj godziny, żądanie kontaktu z adwokatem, treść protokołu i dowody.</w:t>
      </w:r>
    </w:p>
    <w:p>
      <w:pPr>
        <w:pStyle w:val="Instrukcja–punkt"/>
        <w:spacing w:before="0"/>
      </w:pPr>
      <w:r>
        <w:rPr>
          <w:b w:val="0"/>
          <w:i w:val="0"/>
        </w:rPr>
        <w:t>•  Nie ukrywaj niekorzystnych faktów, jeśli wynikają z akt. Wyjaśnij ich znaczenie i wskaż, co je równoważy.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Ostatnia kontrola</w:t>
      </w:r>
    </w:p>
    <w:p>
      <w:pPr>
        <w:pStyle w:val="Instrukcja–punkt"/>
        <w:spacing w:before="0"/>
      </w:pPr>
      <w:r>
        <w:rPr>
          <w:b w:val="0"/>
          <w:i w:val="0"/>
        </w:rPr>
        <w:t>•  Czy pismo ma adresata, sygnaturę, jednoznaczne żądanie, uzasadnienie, listę załączników i podpis?</w:t>
      </w:r>
    </w:p>
    <w:p>
      <w:pPr>
        <w:pStyle w:val="Instrukcja–punkt"/>
        <w:spacing w:before="0"/>
      </w:pPr>
      <w:r>
        <w:rPr>
          <w:b w:val="0"/>
          <w:i w:val="0"/>
        </w:rPr>
        <w:t>•  Czy załączono pismo główne, jeżeli wniosek dotyczy przywrócenia terminu?</w:t>
      </w:r>
    </w:p>
    <w:p>
      <w:pPr>
        <w:pStyle w:val="Instrukcja–punkt"/>
        <w:spacing w:before="0"/>
      </w:pPr>
      <w:r>
        <w:rPr>
          <w:b w:val="0"/>
          <w:i w:val="0"/>
        </w:rPr>
        <w:t>•  Czy zachowano własną identyczną kopię i potwierdzenie złożenia?</w:t>
      </w:r>
    </w:p>
    <w:p>
      <w:pPr>
        <w:pStyle w:val="Instrukcja–punkt"/>
        <w:spacing w:before="0"/>
      </w:pPr>
      <w:r>
        <w:rPr>
          <w:b w:val="0"/>
          <w:i w:val="0"/>
        </w:rPr>
        <w:t>•  Czy usunięto wszystkie fikcyjne dane i czerwone instrukcje?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Zakres pakietu</w:t>
      </w:r>
    </w:p>
    <w:p>
      <w:pPr>
        <w:pStyle w:val="Instrukcja–punkt"/>
        <w:spacing w:before="0"/>
      </w:pPr>
      <w:r>
        <w:rPr>
          <w:b w:val="0"/>
          <w:i w:val="0"/>
        </w:rPr>
        <w:t>•  01. Wniosek o wyznaczenie obrońcy z urzędu</w:t>
      </w:r>
    </w:p>
    <w:p>
      <w:pPr>
        <w:pStyle w:val="Instrukcja–punkt"/>
        <w:spacing w:before="0"/>
      </w:pPr>
      <w:r>
        <w:rPr>
          <w:b w:val="0"/>
          <w:i w:val="0"/>
        </w:rPr>
        <w:t>•  02. Wniosek podejrzanego lub oskarżonego o dostęp do akt i wykonanie kopii</w:t>
      </w:r>
    </w:p>
    <w:p>
      <w:pPr>
        <w:pStyle w:val="Instrukcja–punkt"/>
        <w:spacing w:before="0"/>
      </w:pPr>
      <w:r>
        <w:rPr>
          <w:b w:val="0"/>
          <w:i w:val="0"/>
        </w:rPr>
        <w:t>•  03. Wniosek dowodowy obrony</w:t>
      </w:r>
    </w:p>
    <w:p>
      <w:pPr>
        <w:pStyle w:val="Instrukcja–punkt"/>
        <w:spacing w:before="0"/>
      </w:pPr>
      <w:r>
        <w:rPr>
          <w:b w:val="0"/>
          <w:i w:val="0"/>
        </w:rPr>
        <w:t>•  04. Odpowiedź na akt oskarżenia</w:t>
      </w:r>
    </w:p>
    <w:p>
      <w:pPr>
        <w:pStyle w:val="Instrukcja–punkt"/>
        <w:spacing w:before="0"/>
      </w:pPr>
      <w:r>
        <w:rPr>
          <w:b w:val="0"/>
          <w:i w:val="0"/>
        </w:rPr>
        <w:t>•  05. Sprzeciw od wyroku nakazowego</w:t>
      </w:r>
    </w:p>
    <w:p>
      <w:pPr>
        <w:pStyle w:val="Instrukcja–punkt"/>
        <w:spacing w:before="0"/>
      </w:pPr>
      <w:r>
        <w:rPr>
          <w:b w:val="0"/>
          <w:i w:val="0"/>
        </w:rPr>
        <w:t>•  06. Wniosek o sporządzenie i doręczenie uzasadnienia wyroku</w:t>
      </w:r>
    </w:p>
    <w:p>
      <w:pPr>
        <w:pStyle w:val="Instrukcja–punkt"/>
        <w:spacing w:before="0"/>
      </w:pPr>
      <w:r>
        <w:rPr>
          <w:b w:val="0"/>
          <w:i w:val="0"/>
        </w:rPr>
        <w:t>•  07. Wniosek o uchylenie albo zmianę środka zapobiegawczego</w:t>
      </w:r>
    </w:p>
    <w:p>
      <w:pPr>
        <w:pStyle w:val="Instrukcja–punkt"/>
        <w:spacing w:before="0"/>
      </w:pPr>
      <w:r>
        <w:rPr>
          <w:b w:val="0"/>
          <w:i w:val="0"/>
        </w:rPr>
        <w:t>•  08. Zażalenie na zatrzymanie</w:t>
      </w:r>
    </w:p>
    <w:p>
      <w:pPr>
        <w:pStyle w:val="Instrukcja–punkt"/>
        <w:spacing w:before="0"/>
      </w:pPr>
      <w:r>
        <w:rPr>
          <w:b w:val="0"/>
          <w:i w:val="0"/>
        </w:rPr>
        <w:t>•  09. Wniosek o skierowanie sprawy do postępowania mediacyjnego</w:t>
      </w:r>
    </w:p>
    <w:p>
      <w:pPr>
        <w:pStyle w:val="Instrukcja–punkt"/>
        <w:spacing w:before="0"/>
      </w:pPr>
      <w:r>
        <w:rPr>
          <w:b w:val="0"/>
          <w:i w:val="0"/>
        </w:rPr>
        <w:t>•  10. Wniosek o przywrócenie terminu zawitego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Materiał informacyjny</w:t>
      </w:r>
    </w:p>
    <w:p>
      <w:pPr>
        <w:pStyle w:val="Pismo–treść"/>
        <w:spacing w:before="0"/>
      </w:pPr>
      <w:r>
        <w:rPr>
          <w:b w:val="0"/>
          <w:i w:val="0"/>
        </w:rPr>
        <w:t>Stan prawny i fakty konkretnej sprawy wymagają odrębnej weryfikacji. Przewodnik oraz wzory nie są indywidualną poradą prawną i nie zastępują analizy akt, pouczenia ani terminów właściwych dla konkretnej sprawy.</w:t>
      </w:r>
    </w:p>
    <w:sectPr w:rsidR="00FC693F" w:rsidRPr="0006063C" w:rsidSect="00034616">
      <w:headerReference w:type="default" r:id="rId13"/>
      <w:footerReference w:type="default" r:id="rId14"/>
      <w:headerReference w:type="first" r:id="rId15"/>
      <w:headerReference w:type="even" r:id="rId16"/>
      <w:footerReference w:type="first" r:id="rId17"/>
      <w:footerReference w:type="even" r:id="rId18"/>
      <w:pgSz w:w="11906" w:h="16838"/>
      <w:pgMar w:top="1020" w:right="1247" w:bottom="964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ptos" w:hAnsi="Aptos"/>
        <w:color w:val="5B6764"/>
        <w:sz w:val="16"/>
      </w:rPr>
      <w:t>Materiał informacyjny · stan prawny: 28 października 2026 r. · adwokat-marcinkowska.pl</w:t>
    </w:r>
  </w:p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100"/>
      <w:ind w:left="283" w:hanging="283"/>
    </w:pPr>
    <w:rPr>
      <w:sz w:val="21"/>
    </w:rPr>
  </w:style>
  <w:style w:type="paragraph" w:customStyle="1" w:styleId="Pismo–treść">
    <w:name w:val="Pismo – treść"/>
    <w:basedOn w:val="Normal"/>
    <w:pPr>
      <w:spacing w:line="276" w:lineRule="auto" w:after="140"/>
    </w:pPr>
    <w:rPr>
      <w:sz w:val="22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  <w:style w:type="paragraph" w:customStyle="1" w:styleId="Podstawaprawna">
    <w:name w:val="Podstawa prawna"/>
    <w:basedOn w:val="Normal"/>
    <w:pPr>
      <w:spacing w:after="60"/>
    </w:pPr>
    <w:rPr>
      <w:rFonts w:ascii="Aptos" w:hAnsi="Aptos"/>
      <w:color w:val="1A3A37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header" Target="header4.xml"/><Relationship Id="rId16" Type="http://schemas.openxmlformats.org/officeDocument/2006/relationships/header" Target="header5.xml"/><Relationship Id="rId17" Type="http://schemas.openxmlformats.org/officeDocument/2006/relationships/footer" Target="footer4.xml"/><Relationship Id="rId18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warunkowe przedterminowe zwolnienie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