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tykieta"/>
        <w:keepNext/>
        <w:spacing w:before="0"/>
      </w:pPr>
      <w:r>
        <w:rPr>
          <w:b w:val="0"/>
          <w:i w:val="0"/>
        </w:rPr>
        <w:t>POSTĘPOWANIE WYKONAWCZE  ·  WZÓR 41</w:t>
      </w:r>
    </w:p>
    <w:p>
      <w:pPr>
        <w:pStyle w:val="Title"/>
        <w:keepNext/>
        <w:spacing w:before="0"/>
      </w:pPr>
      <w:r>
        <w:rPr>
          <w:b w:val="0"/>
          <w:i w:val="0"/>
        </w:rPr>
        <w:t>Wniosek o zwrot dowodu rzeczowego lub zatrzymanego przedmiotu</w:t>
      </w:r>
    </w:p>
    <w:p>
      <w:pPr>
        <w:pStyle w:val="Pismo–treść"/>
        <w:spacing w:before="0" w:after="200"/>
      </w:pPr>
      <w:r>
        <w:rPr>
          <w:b w:val="0"/>
          <w:i w:val="0"/>
        </w:rPr>
        <w:t>Prawo do zwrotu zależy od etapu sprawy, dalszej przydatności przedmiotu, rozstrzygnięcia o przepadku i tego, kto jest osobą uprawnioną. Sam fakt, że rzecz odebrano wnioskodawcy, nie zawsze rozstrzyga o prawie do jej odbioru.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Co wynika z przepisów</w:t>
      </w:r>
    </w:p>
    <w:p>
      <w:pPr>
        <w:spacing w:after="80"/>
      </w:pP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vAlign w:val="center"/>
            <w:shd w:fill="e9f0ec"/>
            <w:tcMar>
              <w:top w:w="180" w:type="dxa"/>
              <w:start w:w="220" w:type="dxa"/>
              <w:bottom w:w="180" w:type="dxa"/>
              <w:end w:w="220" w:type="dxa"/>
            </w:tcMar>
          </w:tcPr>
          <w:p>
            <w:pPr>
              <w:pStyle w:val="Podstawaprawna"/>
            </w:pPr>
            <w:r>
              <w:rPr>
                <w:b/>
                <w:color w:val="153B38"/>
              </w:rPr>
              <w:t>art. 230 § 2 KPK</w:t>
            </w:r>
          </w:p>
          <w:p>
            <w:pPr>
              <w:pStyle w:val="Podstawaprawna"/>
            </w:pPr>
            <w:r>
              <w:rPr>
                <w:i/>
              </w:rPr>
              <w:t>„Zatrzymane rzeczy należy zwrócić osobie uprawnionej niezwłocznie po stwierdzeniu ich zbędności dla postępowania karnego.”</w:t>
            </w:r>
          </w:p>
          <w:p>
            <w:pPr>
              <w:pStyle w:val="Podstawaprawna"/>
            </w:pPr>
            <w:r>
              <w:t>Trzeba wykazać uprawnienie do rzeczy i wyjaśnić, dlaczego nie jest już potrzebna jako dowód ani przedmiot zabezpieczenia.</w:t>
            </w:r>
          </w:p>
        </w:tc>
      </w:tr>
    </w:tbl>
    <w:p>
      <w:pPr>
        <w:spacing w:before="80" w:after="160"/>
      </w:pPr>
    </w:p>
    <w:p>
      <w:pPr>
        <w:spacing w:after="80"/>
      </w:pP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vAlign w:val="center"/>
            <w:shd w:fill="e9f0ec"/>
            <w:tcMar>
              <w:top w:w="180" w:type="dxa"/>
              <w:start w:w="220" w:type="dxa"/>
              <w:bottom w:w="180" w:type="dxa"/>
              <w:end w:w="220" w:type="dxa"/>
            </w:tcMar>
          </w:tcPr>
          <w:p>
            <w:pPr>
              <w:pStyle w:val="Podstawaprawna"/>
            </w:pPr>
            <w:r>
              <w:rPr>
                <w:b/>
                <w:color w:val="153B38"/>
              </w:rPr>
              <w:t>art. 420 § 1 KPK</w:t>
            </w:r>
          </w:p>
          <w:p>
            <w:pPr>
              <w:pStyle w:val="Podstawaprawna"/>
            </w:pPr>
            <w:r>
              <w:rPr>
                <w:i/>
              </w:rPr>
              <w:t>„Jeżeli wyrok nie zawiera rozstrzygnięcia co do dowodów rzeczowych, sąd orzeka o tym postanowieniem na posiedzeniu.”</w:t>
            </w:r>
          </w:p>
          <w:p>
            <w:pPr>
              <w:pStyle w:val="Podstawaprawna"/>
            </w:pPr>
            <w:r>
              <w:t>Po prawomocnym wyroku pomijającym rzecz właściwą podstawą może być wniosek o uzupełniające rozstrzygnięcie.</w:t>
            </w:r>
          </w:p>
        </w:tc>
      </w:tr>
    </w:tbl>
    <w:p>
      <w:pPr>
        <w:spacing w:before="80" w:after="160"/>
      </w:pPr>
    </w:p>
    <w:p>
      <w:pPr>
        <w:pStyle w:val="Heading1"/>
        <w:keepNext/>
        <w:spacing w:before="100" w:after="100"/>
      </w:pPr>
      <w:r>
        <w:rPr>
          <w:b w:val="0"/>
          <w:i w:val="0"/>
        </w:rPr>
        <w:t>Skąd wziąć sygnaturę i dane organu</w:t>
      </w:r>
    </w:p>
    <w:p>
      <w:pPr>
        <w:pStyle w:val="Instrukcja–punkt"/>
        <w:spacing w:before="0"/>
      </w:pPr>
      <w:r>
        <w:rPr>
          <w:b w:val="0"/>
          <w:i w:val="0"/>
        </w:rPr>
        <w:t>•  Sygnaturę wyroku przepisz z pierwszej strony prawomocnego orzeczenia. Sygnaturę wykonawczą przepisz z późniejszego postanowienia, zawiadomienia albo wezwania; nie zakładaj, że obie są takie same.</w:t>
      </w:r>
    </w:p>
    <w:p>
      <w:pPr>
        <w:pStyle w:val="Instrukcja–punkt"/>
        <w:spacing w:before="0"/>
      </w:pPr>
      <w:r>
        <w:rPr>
          <w:b w:val="0"/>
          <w:i w:val="0"/>
        </w:rPr>
        <w:t>•  Jeżeli nie znasz sygnatury wykonawczej, skontaktuj się z Biurem Obsługi Interesanta albo sekretariatem wydziału karnego sądu, który wydał wyrok w pierwszej instancji. Podaj imię, nazwisko, PESEL i sygnaturę wyroku.</w:t>
      </w:r>
    </w:p>
    <w:p>
      <w:pPr>
        <w:pStyle w:val="Instrukcja–punkt"/>
        <w:spacing w:before="0"/>
      </w:pPr>
      <w:r>
        <w:rPr>
          <w:b w:val="0"/>
          <w:i w:val="0"/>
        </w:rPr>
        <w:t>•  W sprawach penitencjarnych sąd ustala się najczęściej według miejsca osadzenia lub wykonywania dozoru. Nazwę jednostki penitencjarnej i właściwy sąd sprawdź na ostatnim piśmie albo w administracji zakładu karnego.</w:t>
      </w:r>
    </w:p>
    <w:p>
      <w:pPr>
        <w:pStyle w:val="Instrukcja–punkt"/>
        <w:spacing w:before="0"/>
      </w:pPr>
      <w:r>
        <w:rPr>
          <w:b w:val="0"/>
          <w:i w:val="0"/>
        </w:rPr>
        <w:t>•  Gdy pismo dotyczy kilku wyroków, wypisz wszystkie znane sygnatury, daty orzeczeń, sądy oraz rodzaje i rozmiary kar. Pominięcie jednego skazania może zmienić ocenę całej sprawy.</w:t>
      </w:r>
    </w:p>
    <w:p>
      <w:pPr>
        <w:pStyle w:val="Instrukcja–punkt"/>
        <w:spacing w:before="0"/>
      </w:pPr>
      <w:r>
        <w:rPr>
          <w:b w:val="0"/>
          <w:i w:val="0"/>
        </w:rPr>
        <w:t>•  Adresat tego pisma: W postępowaniu przygotowawczym — prokurator; po wniesieniu aktu oskarżenia — sąd. Po wyroku właściwy może być sąd orzekający w trybie art. 420 KPK.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Termin, opłata, podpis i sposób złożenia</w:t>
      </w:r>
    </w:p>
    <w:p>
      <w:pPr>
        <w:pStyle w:val="Instrukcja–punkt"/>
        <w:spacing w:before="0"/>
      </w:pPr>
      <w:r>
        <w:rPr>
          <w:b w:val="0"/>
          <w:i w:val="0"/>
        </w:rPr>
        <w:t>•  Termin: Po ustaniu potrzeby przechowywania rzeczy dla postępowania albo gdy orzeczenie pominęło rozstrzygnięcie o dowodzie rzeczowym.</w:t>
      </w:r>
    </w:p>
    <w:p>
      <w:pPr>
        <w:pStyle w:val="Instrukcja–punkt"/>
        <w:spacing w:before="0"/>
      </w:pPr>
      <w:r>
        <w:rPr>
          <w:b w:val="0"/>
          <w:i w:val="0"/>
        </w:rPr>
        <w:t>•  Opłata: Brak opłaty wskazanej dla wniosku.</w:t>
      </w:r>
    </w:p>
    <w:p>
      <w:pPr>
        <w:pStyle w:val="Instrukcja–punkt"/>
        <w:spacing w:before="0"/>
      </w:pPr>
      <w:r>
        <w:rPr>
          <w:b w:val="0"/>
          <w:i w:val="0"/>
        </w:rPr>
        <w:t>•  Termin licz od zdarzenia wskazanego w pouczeniu i przepisie. Zanotuj dzień ogłoszenia, doręczenia lub faktycznego odebrania pisma; sama data wydania orzeczenia zwykle nie wystarcza.</w:t>
      </w:r>
    </w:p>
    <w:p>
      <w:pPr>
        <w:pStyle w:val="Instrukcja–punkt"/>
        <w:spacing w:before="0"/>
      </w:pPr>
      <w:r>
        <w:rPr>
          <w:b w:val="0"/>
          <w:i w:val="0"/>
        </w:rPr>
        <w:t>•  Pismo można złożyć w biurze podawczym — na własnej kopii poproś o datownik — albo nadać w sposób pozwalający zachować termin i dowód nadania. Zwykły e-mail nie zastępuje pisma procesowego.</w:t>
      </w:r>
    </w:p>
    <w:p>
      <w:pPr>
        <w:pStyle w:val="Instrukcja–punkt"/>
        <w:spacing w:before="0"/>
      </w:pPr>
      <w:r>
        <w:rPr>
          <w:b w:val="0"/>
          <w:i w:val="0"/>
        </w:rPr>
        <w:t>•  Osoba pozbawiona wolności przekazuje pismo administracji jednostki zgodnie z obowiązującą procedurą i powinna zachować potwierdzenie jego złożenia.</w:t>
      </w:r>
    </w:p>
    <w:p>
      <w:pPr>
        <w:pStyle w:val="Instrukcja–punkt"/>
        <w:spacing w:before="0"/>
      </w:pPr>
      <w:r>
        <w:rPr>
          <w:b w:val="0"/>
          <w:i w:val="0"/>
        </w:rPr>
        <w:t>•  Na końcu dokumentu złóż własnoręczny podpis. Niepodpisane pismo albo skan podpisu w zwykłej wiadomości e-mail może nie wywołać zamierzonego skutku.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Kiedy ten wzór może być użyteczny</w:t>
      </w:r>
    </w:p>
    <w:p>
      <w:pPr>
        <w:pStyle w:val="Instrukcja–punkt"/>
        <w:spacing w:before="0"/>
      </w:pPr>
      <w:r>
        <w:rPr>
          <w:b w:val="0"/>
          <w:i w:val="0"/>
        </w:rPr>
        <w:t>•  rzecz nie jest już potrzebna do celów dowodowych i nie podlega przepadkowi ani zabezpieczeniu;</w:t>
      </w:r>
    </w:p>
    <w:p>
      <w:pPr>
        <w:pStyle w:val="Instrukcja–punkt"/>
        <w:spacing w:before="0"/>
      </w:pPr>
      <w:r>
        <w:rPr>
          <w:b w:val="0"/>
          <w:i w:val="0"/>
        </w:rPr>
        <w:t>•  wyrok lub postanowienie kończące sprawę nie rozstrzygnęło o rzeczy.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Co trzeba ustalić przed wypełnieniem</w:t>
      </w:r>
    </w:p>
    <w:p>
      <w:pPr>
        <w:pStyle w:val="Instrukcja–punkt"/>
        <w:spacing w:before="0"/>
      </w:pPr>
      <w:r>
        <w:rPr>
          <w:b w:val="0"/>
          <w:i w:val="0"/>
        </w:rPr>
        <w:t>•  dokładny opis rzeczy, numer pokwitowania i miejsce przechowywania;</w:t>
      </w:r>
    </w:p>
    <w:p>
      <w:pPr>
        <w:pStyle w:val="Instrukcja–punkt"/>
        <w:spacing w:before="0"/>
      </w:pPr>
      <w:r>
        <w:rPr>
          <w:b w:val="0"/>
          <w:i w:val="0"/>
        </w:rPr>
        <w:t>•  kiedy i od kogo rzecz odebrano;</w:t>
      </w:r>
    </w:p>
    <w:p>
      <w:pPr>
        <w:pStyle w:val="Instrukcja–punkt"/>
        <w:spacing w:before="0"/>
      </w:pPr>
      <w:r>
        <w:rPr>
          <w:b w:val="0"/>
          <w:i w:val="0"/>
        </w:rPr>
        <w:t>•  dokument własności lub innego uprawnienia;</w:t>
      </w:r>
    </w:p>
    <w:p>
      <w:pPr>
        <w:pStyle w:val="Instrukcja–punkt"/>
        <w:spacing w:before="0"/>
      </w:pPr>
      <w:r>
        <w:rPr>
          <w:b w:val="0"/>
          <w:i w:val="0"/>
        </w:rPr>
        <w:t>•  czy istnieje spór o własność, zabezpieczenie, zajęcie lub przepadek.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Najczęściej potrzebne załączniki</w:t>
      </w:r>
    </w:p>
    <w:p>
      <w:pPr>
        <w:pStyle w:val="Instrukcja–punkt"/>
        <w:spacing w:before="0"/>
      </w:pPr>
      <w:r>
        <w:rPr>
          <w:b w:val="0"/>
          <w:i w:val="0"/>
        </w:rPr>
        <w:t>•  protokół zatrzymania i pokwitowanie;</w:t>
      </w:r>
    </w:p>
    <w:p>
      <w:pPr>
        <w:pStyle w:val="Instrukcja–punkt"/>
        <w:spacing w:before="0"/>
      </w:pPr>
      <w:r>
        <w:rPr>
          <w:b w:val="0"/>
          <w:i w:val="0"/>
        </w:rPr>
        <w:t>•  dowód zakupu, umowa, dokument rejestracyjny lub inny dowód uprawnienia;</w:t>
      </w:r>
    </w:p>
    <w:p>
      <w:pPr>
        <w:pStyle w:val="Instrukcja–punkt"/>
        <w:spacing w:before="0"/>
      </w:pPr>
      <w:r>
        <w:rPr>
          <w:b w:val="0"/>
          <w:i w:val="0"/>
        </w:rPr>
        <w:t>•  wyrok albo postanowienie kończące sprawę.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Granice wzoru</w:t>
      </w:r>
    </w:p>
    <w:p>
      <w:pPr>
        <w:pStyle w:val="Instrukcja–punkt"/>
        <w:spacing w:before="0"/>
      </w:pPr>
      <w:r>
        <w:rPr>
          <w:b w:val="0"/>
          <w:i w:val="0"/>
        </w:rPr>
        <w:t>•  wzór nie zastępuje analizy akt, prawomocności orzeczenia, właściwości organu ani otrzymanego pouczenia;</w:t>
      </w:r>
    </w:p>
    <w:p>
      <w:pPr>
        <w:pStyle w:val="Instrukcja–punkt"/>
        <w:spacing w:before="0"/>
      </w:pPr>
      <w:r>
        <w:rPr>
          <w:b w:val="0"/>
          <w:i w:val="0"/>
        </w:rPr>
        <w:t>•  nie wolno dopisywać zdarzeń, przerabiać dokumentów, zatajać istotnych faktów ani przedstawiać przypuszczeń jako faktów;</w:t>
      </w:r>
    </w:p>
    <w:p>
      <w:pPr>
        <w:pStyle w:val="Instrukcja–punkt"/>
        <w:spacing w:before="0"/>
      </w:pPr>
      <w:r>
        <w:rPr>
          <w:b w:val="0"/>
          <w:i w:val="0"/>
        </w:rPr>
        <w:t>•  samo złożenie pisma nie oznacza jego uwzględnienia i co do zasady nie wstrzymuje innych czynności, chyba że ustawa lub odrębne rozstrzygnięcie stanowią inaczej;</w:t>
      </w:r>
    </w:p>
    <w:p>
      <w:pPr>
        <w:pStyle w:val="Instrukcja–punkt"/>
        <w:spacing w:before="0"/>
      </w:pPr>
      <w:r>
        <w:rPr>
          <w:b w:val="0"/>
          <w:i w:val="0"/>
        </w:rPr>
        <w:t>•  jeżeli termin jest krótki, osoba jest pozbawiona wolności albo grozi nieodwracalny skutek, pismo wymaga pilnej indywidualnej weryfikacji.</w:t>
      </w:r>
    </w:p>
    <w:p>
      <w:pPr>
        <w:pStyle w:val="Instrukcja–punkt"/>
        <w:spacing w:before="0"/>
      </w:pPr>
      <w:r>
        <w:rPr>
          <w:b w:val="0"/>
          <w:i w:val="0"/>
        </w:rPr>
        <w:t>•  rzeczy, których posiadanie jest zabronione, nie podlegają zwykłemu zwrotowi;</w:t>
      </w:r>
    </w:p>
    <w:p>
      <w:pPr>
        <w:pStyle w:val="Instrukcja–punkt"/>
        <w:spacing w:before="0"/>
      </w:pPr>
      <w:r>
        <w:rPr>
          <w:b w:val="0"/>
          <w:i w:val="0"/>
        </w:rPr>
        <w:t>•  przy sporze co do własności rzecz może trafić do depozytu, a zainteresowani mogą zostać odesłani na drogę cywilną.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Kontrola przed złożeniem</w:t>
      </w:r>
    </w:p>
    <w:p>
      <w:pPr>
        <w:pStyle w:val="Instrukcja–punkt"/>
        <w:spacing w:before="0"/>
      </w:pPr>
      <w:r>
        <w:rPr>
          <w:b w:val="0"/>
          <w:i w:val="0"/>
        </w:rPr>
        <w:t>□  wpisano właściwy sąd lub organ, dane składającego i prawidłową sygnaturę;</w:t>
      </w:r>
    </w:p>
    <w:p>
      <w:pPr>
        <w:pStyle w:val="Instrukcja–punkt"/>
        <w:spacing w:before="0"/>
      </w:pPr>
      <w:r>
        <w:rPr>
          <w:b w:val="0"/>
          <w:i w:val="0"/>
        </w:rPr>
        <w:t>□  żądanie jest jednoznaczne i odpowiada opisanym faktom;</w:t>
      </w:r>
    </w:p>
    <w:p>
      <w:pPr>
        <w:pStyle w:val="Instrukcja–punkt"/>
        <w:spacing w:before="0"/>
      </w:pPr>
      <w:r>
        <w:rPr>
          <w:b w:val="0"/>
          <w:i w:val="0"/>
        </w:rPr>
        <w:t>□  wszystkie daty, kwoty i nazwy przepisano z dokumentów bez zgadywania;</w:t>
      </w:r>
    </w:p>
    <w:p>
      <w:pPr>
        <w:pStyle w:val="Instrukcja–punkt"/>
        <w:spacing w:before="0"/>
      </w:pPr>
      <w:r>
        <w:rPr>
          <w:b w:val="0"/>
          <w:i w:val="0"/>
        </w:rPr>
        <w:t>□  każdy istotny fakt został powiązany z dokumentem albo innym dowodem;</w:t>
      </w:r>
    </w:p>
    <w:p>
      <w:pPr>
        <w:pStyle w:val="Instrukcja–punkt"/>
        <w:spacing w:before="0"/>
      </w:pPr>
      <w:r>
        <w:rPr>
          <w:b w:val="0"/>
          <w:i w:val="0"/>
        </w:rPr>
        <w:t>□  dołączono wszystkie wskazane załączniki i wymagane odpisy;</w:t>
      </w:r>
    </w:p>
    <w:p>
      <w:pPr>
        <w:pStyle w:val="Instrukcja–punkt"/>
        <w:spacing w:before="0"/>
      </w:pPr>
      <w:r>
        <w:rPr>
          <w:b w:val="0"/>
          <w:i w:val="0"/>
        </w:rPr>
        <w:t>□  usunięto czerwone instrukcje, nawiasy i warianty niedotyczące sprawy;</w:t>
      </w:r>
    </w:p>
    <w:p>
      <w:pPr>
        <w:pStyle w:val="Instrukcja–punkt"/>
        <w:spacing w:before="0"/>
      </w:pPr>
      <w:r>
        <w:rPr>
          <w:b w:val="0"/>
          <w:i w:val="0"/>
        </w:rPr>
        <w:t>□  pismo zostało podpisane, a kopia i potwierdzenie złożenia pozostają u składającego.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Najczęstsze błędy</w:t>
      </w:r>
    </w:p>
    <w:p>
      <w:pPr>
        <w:pStyle w:val="Instrukcja–punkt"/>
        <w:spacing w:before="0"/>
      </w:pPr>
      <w:r>
        <w:rPr>
          <w:b w:val="0"/>
          <w:i w:val="0"/>
        </w:rPr>
        <w:t>•  złożenie szablonu bez usunięcia czerwonych instrukcji i fikcyjnych danych;</w:t>
      </w:r>
    </w:p>
    <w:p>
      <w:pPr>
        <w:pStyle w:val="Instrukcja–punkt"/>
        <w:spacing w:before="0"/>
      </w:pPr>
      <w:r>
        <w:rPr>
          <w:b w:val="0"/>
          <w:i w:val="0"/>
        </w:rPr>
        <w:t>•  wpisanie numeru przesyłki, numeru protokołu albo sygnatury innej sprawy zamiast właściwej sygnatury;</w:t>
      </w:r>
    </w:p>
    <w:p>
      <w:pPr>
        <w:pStyle w:val="Instrukcja–punkt"/>
        <w:spacing w:before="0"/>
      </w:pPr>
      <w:r>
        <w:rPr>
          <w:b w:val="0"/>
          <w:i w:val="0"/>
        </w:rPr>
        <w:t>•  opisanie oczekiwanego wyniku bez sformułowania jednoznacznego żądania;</w:t>
      </w:r>
    </w:p>
    <w:p>
      <w:pPr>
        <w:pStyle w:val="Instrukcja–punkt"/>
        <w:spacing w:before="0"/>
      </w:pPr>
      <w:r>
        <w:rPr>
          <w:b w:val="0"/>
          <w:i w:val="0"/>
        </w:rPr>
        <w:t>•  powołanie dokumentu bez dołączenia go i bez wskazania, jaki fakt ma potwierdzać;</w:t>
      </w:r>
    </w:p>
    <w:p>
      <w:pPr>
        <w:pStyle w:val="Instrukcja–punkt"/>
        <w:spacing w:before="0"/>
      </w:pPr>
      <w:r>
        <w:rPr>
          <w:b w:val="0"/>
          <w:i w:val="0"/>
        </w:rPr>
        <w:t>•  wysłanie jedynego egzemplarza bez zachowania kopii oraz dowodu daty złożenia.</w:t>
      </w:r>
    </w:p>
    <w:p>
      <w:r>
        <w:br w:type="page"/>
      </w:r>
    </w:p>
    <w:p>
      <w:pPr>
        <w:pStyle w:val="Pismo–treść"/>
        <w:spacing w:before="0" w:after="200"/>
        <w:jc w:val="right"/>
      </w:pPr>
      <w:r>
        <w:rPr>
          <w:b w:val="0"/>
          <w:i w:val="0"/>
          <w:color w:val="B02033"/>
        </w:rPr>
        <w:t>[miejscowość]</w:t>
      </w:r>
      <w:r>
        <w:rPr>
          <w:b w:val="0"/>
          <w:i w:val="0"/>
        </w:rPr>
        <w:t xml:space="preserve">, dnia </w:t>
      </w:r>
      <w:r>
        <w:rPr>
          <w:b w:val="0"/>
          <w:i w:val="0"/>
          <w:color w:val="B02033"/>
        </w:rPr>
        <w:t>[dzień miesiąc rok]</w:t>
      </w:r>
    </w:p>
    <w:p>
      <w:pPr>
        <w:pStyle w:val="Pismo–treść"/>
        <w:spacing w:before="0" w:after="100"/>
        <w:jc w:val="left"/>
      </w:pPr>
      <w:r>
        <w:rPr>
          <w:b w:val="0"/>
          <w:i w:val="0"/>
        </w:rPr>
        <w:t>Wnioskodawca / skazany:</w:t>
        <w:br/>
      </w:r>
      <w:r>
        <w:rPr>
          <w:b w:val="0"/>
          <w:i w:val="0"/>
          <w:color w:val="B02033"/>
        </w:rPr>
        <w:t>[imię i nazwisko]</w:t>
      </w:r>
      <w:r>
        <w:rPr>
          <w:b w:val="0"/>
          <w:i w:val="0"/>
        </w:rPr>
        <w:br/>
      </w:r>
      <w:r>
        <w:rPr>
          <w:b w:val="0"/>
          <w:i w:val="0"/>
          <w:color w:val="B02033"/>
        </w:rPr>
        <w:t>[adres do korespondencji / jednostka]</w:t>
      </w:r>
      <w:r>
        <w:rPr>
          <w:b w:val="0"/>
          <w:i w:val="0"/>
        </w:rPr>
        <w:br/>
      </w:r>
      <w:r>
        <w:rPr>
          <w:b w:val="0"/>
          <w:i w:val="0"/>
          <w:color w:val="B02033"/>
        </w:rPr>
        <w:t>[PESEL albo data urodzenia]</w:t>
      </w:r>
      <w:r>
        <w:rPr>
          <w:b w:val="0"/>
          <w:i w:val="0"/>
        </w:rPr>
        <w:br/>
      </w:r>
      <w:r>
        <w:rPr>
          <w:b w:val="0"/>
          <w:i w:val="0"/>
          <w:color w:val="B02033"/>
        </w:rPr>
        <w:t>[telefon lub e-mail — opcjonalnie]</w:t>
      </w:r>
    </w:p>
    <w:p>
      <w:pPr>
        <w:pStyle w:val="Pismo–treść"/>
        <w:spacing w:before="0" w:after="160"/>
        <w:jc w:val="left"/>
      </w:pPr>
      <w:r>
        <w:rPr>
          <w:b w:val="0"/>
          <w:i w:val="0"/>
        </w:rPr>
        <w:t xml:space="preserve">Sygnatura akt: </w:t>
      </w:r>
      <w:r>
        <w:rPr>
          <w:b w:val="0"/>
          <w:i w:val="0"/>
          <w:color w:val="B02033"/>
        </w:rPr>
        <w:t>[sygnatura akt i inne znane oznaczenia]</w:t>
      </w:r>
    </w:p>
    <w:p>
      <w:pPr>
        <w:pStyle w:val="Pismo–treść"/>
        <w:spacing w:before="0" w:after="260"/>
        <w:jc w:val="right"/>
      </w:pPr>
      <w:r>
        <w:rPr>
          <w:b w:val="0"/>
          <w:i w:val="0"/>
        </w:rPr>
        <w:t>Do:</w:t>
        <w:br/>
        <w:t>W postępowaniu przygotowawczym — prokurator; po wniesieniu aktu oskarżenia — sąd. Po wyroku właściwy może być sąd orzekający w trybie art. 420 KPK.</w:t>
      </w:r>
    </w:p>
    <w:p>
      <w:pPr>
        <w:keepNext/>
        <w:spacing w:before="0" w:after="240"/>
        <w:jc w:val="center"/>
      </w:pPr>
      <w:r>
        <w:rPr>
          <w:b/>
          <w:i w:val="0"/>
        </w:rPr>
        <w:t>WNIOSEK O ZWROT DOWODU RZECZOWEGO LUB ZATRZYMANEGO PRZEDMIOTU</w:t>
      </w:r>
    </w:p>
    <w:p>
      <w:pPr>
        <w:pStyle w:val="Pismo–treść"/>
        <w:keepNext/>
        <w:spacing w:before="0"/>
      </w:pPr>
      <w:r>
        <w:rPr>
          <w:b/>
          <w:i w:val="0"/>
        </w:rPr>
        <w:t>Wnoszę o: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 xml:space="preserve">1.  wydanie mi przedmiotu opisanego jako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 xml:space="preserve">, zatrzymanego w dniu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 xml:space="preserve"> za pokwitowaniem nr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>;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2.  ewentualnie wydanie postanowienia w przedmiocie dowodu rzeczowego na podstawie art. 420 KPK.</w:t>
      </w:r>
    </w:p>
    <w:p>
      <w:pPr>
        <w:pStyle w:val="Heading2"/>
        <w:keepNext/>
        <w:spacing w:before="100" w:after="100"/>
      </w:pPr>
      <w:r>
        <w:rPr>
          <w:b w:val="0"/>
          <w:i w:val="0"/>
        </w:rPr>
        <w:t>Uzasadnienie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 xml:space="preserve">Przedmiot zatrzymano w dniu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 xml:space="preserve"> w związku ze sprawą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 xml:space="preserve">. Jestem osobą uprawnioną, ponieważ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>.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 xml:space="preserve">Postępowanie znajduje się na etapie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 xml:space="preserve">. Przedmiot nie jest już potrzebny, ponieważ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>.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 xml:space="preserve">Nie orzeczono jego przepadku / nie jest objęty zabezpieczeniem / nie istnieje znany mi spór o własność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>.</w:t>
      </w:r>
    </w:p>
    <w:p>
      <w:pPr>
        <w:pStyle w:val="Heading2"/>
        <w:keepNext/>
        <w:spacing w:before="100" w:after="100"/>
      </w:pPr>
      <w:r>
        <w:rPr>
          <w:b w:val="0"/>
          <w:i w:val="0"/>
        </w:rPr>
        <w:t>Dowody i dokumenty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1.  pokwitowanie i protokół;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2.  dowód uprawnienia do rzeczy;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3.  orzeczenie kończące postępowanie — jeżeli dotyczy.</w:t>
      </w:r>
    </w:p>
    <w:p>
      <w:pPr>
        <w:pStyle w:val="Pismo–treść"/>
        <w:spacing w:before="280" w:after="160"/>
        <w:jc w:val="right"/>
      </w:pPr>
      <w:r>
        <w:rPr>
          <w:b w:val="0"/>
          <w:i w:val="0"/>
          <w:color w:val="B02033"/>
        </w:rPr>
        <w:t>[czytelny podpis]</w:t>
      </w:r>
    </w:p>
    <w:p>
      <w:pPr>
        <w:pStyle w:val="Heading2"/>
        <w:keepNext/>
        <w:spacing w:before="100" w:after="100"/>
      </w:pPr>
      <w:r>
        <w:rPr>
          <w:b w:val="0"/>
          <w:i w:val="0"/>
        </w:rPr>
        <w:t>Załączniki</w:t>
      </w:r>
    </w:p>
    <w:p>
      <w:pPr>
        <w:pStyle w:val="Pismo–treść"/>
        <w:spacing w:before="0"/>
      </w:pPr>
      <w:r>
        <w:rPr>
          <w:b w:val="0"/>
          <w:i w:val="0"/>
        </w:rPr>
        <w:t>1.  protokół zatrzymania i pokwitowanie;</w:t>
      </w:r>
    </w:p>
    <w:p>
      <w:pPr>
        <w:pStyle w:val="Pismo–treść"/>
        <w:spacing w:before="0"/>
      </w:pPr>
      <w:r>
        <w:rPr>
          <w:b w:val="0"/>
          <w:i w:val="0"/>
        </w:rPr>
        <w:t>2.  dowód zakupu, umowa, dokument rejestracyjny lub inny dowód uprawnienia;</w:t>
      </w:r>
    </w:p>
    <w:p>
      <w:pPr>
        <w:pStyle w:val="Pismo–treść"/>
        <w:spacing w:before="0"/>
      </w:pPr>
      <w:r>
        <w:rPr>
          <w:b w:val="0"/>
          <w:i w:val="0"/>
        </w:rPr>
        <w:t>3.  wyrok albo postanowienie kończące sprawę.</w:t>
      </w:r>
    </w:p>
    <w:sectPr w:rsidR="00FC693F" w:rsidRPr="0006063C" w:rsidSect="00034616">
      <w:headerReference w:type="default" r:id="rId13"/>
      <w:footerReference w:type="default" r:id="rId14"/>
      <w:headerReference w:type="first" r:id="rId15"/>
      <w:headerReference w:type="even" r:id="rId16"/>
      <w:footerReference w:type="first" r:id="rId17"/>
      <w:footerReference w:type="even" r:id="rId18"/>
      <w:pgSz w:w="11906" w:h="16838"/>
      <w:pgMar w:top="1020" w:right="1247" w:bottom="964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6"/>
      </w:rPr>
      <w:t xml:space="preserve">Materiał ogólny · stan prawny zweryfikowany 28 października 2026 r. · nie zastępuje analizy konkretnej sprawy  |  </w:t>
    </w:r>
    <w:r>
      <w:fldChar w:fldCharType="begin"/>
      <w:instrText xml:space="preserve">PAGE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7"/>
      </w:rPr>
      <w:t xml:space="preserve">Usuń czerwone instrukcje przed złożeniem  |  </w:t>
    </w:r>
    <w:r>
      <w:fldChar w:fldCharType="begin"/>
      <w:instrText xml:space="preserve">PAGE</w:instrText>
      <w:fldChar w:fldCharType="end"/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ptos" w:hAnsi="Aptos"/>
        <w:color w:val="5B6764"/>
        <w:sz w:val="16"/>
      </w:rPr>
      <w:t>Materiał informacyjny · stan prawny: 28 października 2026 r. · adwokat-marcinkowska.pl</w:t>
    </w:r>
  </w:p>
</w:ftr>
</file>

<file path=word/footer4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5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  <w:pBdr>
        <w:bottom w:val="single" w:sz="8" w:space="5" w:color="1F4B43"/>
      </w:pBdr>
    </w:pPr>
    <w:r>
      <w:rPr>
        <w:rFonts w:ascii="Liberation Sans" w:hAnsi="Liberation Sans" w:eastAsia="Liberation Sans"/>
        <w:b/>
        <w:color w:val="1F4B43"/>
        <w:sz w:val="16"/>
      </w:rPr>
      <w:t>KANCELARIA ADWOKACKA  ·  ADW. ANNA MARCINKOWSKA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Liberation Sans" w:hAnsi="Liberation Sans" w:eastAsia="Liberation Sans"/>
        <w:b/>
        <w:color w:val="A62134"/>
        <w:sz w:val="17"/>
      </w:rPr>
      <w:t>WZÓR DO SAMODZIELNEGO UZUPEŁNIENIA · NIE SKŁADAJ PUSTEGO FORMULARZA</w:t>
    </w: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5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74" w:lineRule="auto"/>
    </w:pPr>
    <w:rPr>
      <w:rFonts w:ascii="Liberation Serif" w:hAnsi="Liberation Serif" w:eastAsia="Liberation Serif"/>
      <w:color w:val="1C2323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7F2838"/>
      <w:sz w:val="2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00"/>
      <w:outlineLvl w:val="2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pBdr>
        <w:bottom w:val="single" w:sz="8" w:space="4" w:color="4F81BD" w:themeColor="accent1"/>
      </w:pBdr>
      <w:spacing w:after="300" w:line="240" w:lineRule="auto" w:before="0"/>
      <w:contextualSpacing/>
    </w:pPr>
    <w:rPr>
      <w:rFonts w:asciiTheme="majorHAnsi" w:eastAsiaTheme="majorEastAsia" w:hAnsiTheme="majorHAnsi" w:cstheme="majorBidi" w:ascii="Liberation Sans" w:hAnsi="Liberation Sans" w:eastAsia="Liberation Sans"/>
      <w:b/>
      <w:color w:val="1F4B43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nstrukcja–punkt">
    <w:name w:val="Instrukcja – punkt"/>
    <w:basedOn w:val="Normal"/>
    <w:pPr>
      <w:spacing w:after="100"/>
      <w:ind w:left="283" w:hanging="283"/>
    </w:pPr>
    <w:rPr>
      <w:sz w:val="21"/>
    </w:rPr>
  </w:style>
  <w:style w:type="paragraph" w:customStyle="1" w:styleId="Pismo–treść">
    <w:name w:val="Pismo – treść"/>
    <w:basedOn w:val="Normal"/>
    <w:pPr>
      <w:spacing w:line="276" w:lineRule="auto" w:after="140"/>
    </w:pPr>
    <w:rPr>
      <w:sz w:val="22"/>
    </w:rPr>
  </w:style>
  <w:style w:type="paragraph" w:customStyle="1" w:styleId="Pismo–małe">
    <w:name w:val="Pismo – małe"/>
    <w:basedOn w:val="Normal"/>
    <w:rPr>
      <w:color w:val="545E5D"/>
      <w:sz w:val="22"/>
    </w:rPr>
  </w:style>
  <w:style w:type="paragraph" w:customStyle="1" w:styleId="Etykieta">
    <w:name w:val="Etykieta"/>
    <w:basedOn w:val="Normal"/>
    <w:pPr>
      <w:spacing w:after="60"/>
    </w:pPr>
    <w:rPr>
      <w:rFonts w:ascii="Liberation Sans" w:hAnsi="Liberation Sans" w:eastAsia="Liberation Sans"/>
      <w:b/>
      <w:color w:val="1F4B43"/>
      <w:sz w:val="19"/>
    </w:rPr>
  </w:style>
  <w:style w:type="paragraph" w:customStyle="1" w:styleId="Blok–odstęp">
    <w:name w:val="Blok – odstęp"/>
    <w:basedOn w:val="Normal"/>
    <w:pPr>
      <w:spacing w:lineRule="exact" w:line="20" w:before="170" w:after="170"/>
    </w:pPr>
    <w:rPr>
      <w:sz w:val="2"/>
    </w:rPr>
  </w:style>
  <w:style w:type="paragraph" w:customStyle="1" w:styleId="Podstawaprawna">
    <w:name w:val="Podstawa prawna"/>
    <w:basedOn w:val="Normal"/>
    <w:pPr>
      <w:spacing w:after="60"/>
    </w:pPr>
    <w:rPr>
      <w:rFonts w:ascii="Aptos" w:hAnsi="Aptos"/>
      <w:color w:val="1A3A37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header" Target="header4.xml"/><Relationship Id="rId16" Type="http://schemas.openxmlformats.org/officeDocument/2006/relationships/header" Target="header5.xml"/><Relationship Id="rId17" Type="http://schemas.openxmlformats.org/officeDocument/2006/relationships/footer" Target="footer4.xml"/><Relationship Id="rId18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warunkowe przedterminowe zwolnienie</dc:title>
  <dc:subject>Wzór pisma w postępowaniu wykonawczym z instrukcją</dc:subject>
  <dc:creator>Kancelaria Adwokacka adw. Anna Marcinkowska</dc:creator>
  <cp:keywords>postępowanie wykonawcze, KKW, wzór pisma, instrukcja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