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38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odbywanie końcowego okresu kary bliżej przyszłego miejsca zamieszkania</w:t>
      </w:r>
    </w:p>
    <w:p>
      <w:pPr>
        <w:pStyle w:val="Pismo–treść"/>
        <w:spacing w:before="0" w:after="200"/>
      </w:pPr>
      <w:r>
        <w:rPr>
          <w:b w:val="0"/>
          <w:i w:val="0"/>
        </w:rPr>
        <w:t>Art. 165 § 1 KKW posługuje się zastrzeżeniem „w miarę możliwości”. Pismo nie powinno obiecywać przeniesienia; ma wykazać związek zmiany miejsca odbywania kary z konkretnym planem readaptacji.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165 § 1 KKW</w:t>
            </w:r>
          </w:p>
          <w:p>
            <w:pPr>
              <w:pStyle w:val="Podstawaprawna"/>
            </w:pPr>
            <w:r>
              <w:rPr>
                <w:i/>
              </w:rPr>
              <w:t>„W okresie przygotowania do zwolnienia skazany powinien w miarę możliwości odbywać karę we właściwym zakładzie karnym położonym najbliżej przyszłego miejsca stałego pobytu.”</w:t>
            </w:r>
          </w:p>
          <w:p>
            <w:pPr>
              <w:pStyle w:val="Podstawaprawna"/>
            </w:pPr>
            <w:r>
              <w:t>Przepis wymaga istnienia okresu z art. 164 KKW, właściwego typu jednostki i realnej możliwości organizacyjnej.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Dyrektor zakładu karnego / właściwy organ Służby Więziennej zgodnie z trybem rozmieszczenia i transportowania skazanych.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W okresie przygotowania do zwolnienia ustalonym na podstawie art. 164 KKW.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ustalono okres przygotowania do zwolnienia;</w:t>
      </w:r>
    </w:p>
    <w:p>
      <w:pPr>
        <w:pStyle w:val="Instrukcja–punkt"/>
        <w:spacing w:before="0"/>
      </w:pPr>
      <w:r>
        <w:rPr>
          <w:b w:val="0"/>
          <w:i w:val="0"/>
        </w:rPr>
        <w:t>•  przeniesienie ułatwi konkretne czynności dotyczące mieszkania, pracy, leczenia, rodziny lub kontaktu z kuratorem.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decyzję o ustaleniu okresu przygotowania;</w:t>
      </w:r>
    </w:p>
    <w:p>
      <w:pPr>
        <w:pStyle w:val="Instrukcja–punkt"/>
        <w:spacing w:before="0"/>
      </w:pPr>
      <w:r>
        <w:rPr>
          <w:b w:val="0"/>
          <w:i w:val="0"/>
        </w:rPr>
        <w:t>•  dokładny przyszły adres i osobę dysponującą lokalem;</w:t>
      </w:r>
    </w:p>
    <w:p>
      <w:pPr>
        <w:pStyle w:val="Instrukcja–punkt"/>
        <w:spacing w:before="0"/>
      </w:pPr>
      <w:r>
        <w:rPr>
          <w:b w:val="0"/>
          <w:i w:val="0"/>
        </w:rPr>
        <w:t>•  właściwy typ jednostki i ograniczenia klasyfikacyjne;</w:t>
      </w:r>
    </w:p>
    <w:p>
      <w:pPr>
        <w:pStyle w:val="Instrukcja–punkt"/>
        <w:spacing w:before="0"/>
      </w:pPr>
      <w:r>
        <w:rPr>
          <w:b w:val="0"/>
          <w:i w:val="0"/>
        </w:rPr>
        <w:t>•  konkretne działania, które wymagają bliskości miejsca pobytu.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zgoda na zamieszkanie;</w:t>
      </w:r>
    </w:p>
    <w:p>
      <w:pPr>
        <w:pStyle w:val="Instrukcja–punkt"/>
        <w:spacing w:before="0"/>
      </w:pPr>
      <w:r>
        <w:rPr>
          <w:b w:val="0"/>
          <w:i w:val="0"/>
        </w:rPr>
        <w:t>•  promesa zatrudnienia lub dokument leczenia;</w:t>
      </w:r>
    </w:p>
    <w:p>
      <w:pPr>
        <w:pStyle w:val="Instrukcja–punkt"/>
        <w:spacing w:before="0"/>
      </w:pPr>
      <w:r>
        <w:rPr>
          <w:b w:val="0"/>
          <w:i w:val="0"/>
        </w:rPr>
        <w:t>•  dokument ustalenia okresu z art. 164 KKW;</w:t>
      </w:r>
    </w:p>
    <w:p>
      <w:pPr>
        <w:pStyle w:val="Instrukcja–punkt"/>
        <w:spacing w:before="0"/>
      </w:pPr>
      <w:r>
        <w:rPr>
          <w:b w:val="0"/>
          <w:i w:val="0"/>
        </w:rPr>
        <w:t>•  dane kuratora lub instytucji readaptacyjnej.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przepis nie daje prawa do wyboru konkretnego zakładu karnego;</w:t>
      </w:r>
    </w:p>
    <w:p>
      <w:pPr>
        <w:pStyle w:val="Instrukcja–punkt"/>
        <w:spacing w:before="0"/>
      </w:pPr>
      <w:r>
        <w:rPr>
          <w:b w:val="0"/>
          <w:i w:val="0"/>
        </w:rPr>
        <w:t>•  względy bezpieczeństwa, klasyfikacja, miejsca i organizacja mogą przemawiać przeciwko zmianie.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Dyrektor zakładu karnego / właściwy organ Służby Więziennej zgodnie z trybem rozmieszczenia i transportowania skazanych.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ODBYWANIE KOŃCOWEGO OKRESU KARY BLIŻEJ PRZYSZŁEGO MIEJSCA ZAMIESZKANIA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rozważenie osadzenia mnie w końcowym okresie kary we właściwej jednostce położonej możliwie blisko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uwzględnienie planu przygotowania do zwolnienia opisanego w uzasadnieniu.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Okres przygotowania do zwolnienia ustalono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Przyszłe stałe miejsce pobytu znajduje się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Bliskość tego miejsca umożliwi </w:t>
      </w:r>
      <w:r>
        <w:rPr>
          <w:b w:val="0"/>
          <w:i w:val="0"/>
          <w:color w:val="B02033"/>
        </w:rPr>
        <w:t>[WYPEŁNIJ: konkretne czynności]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Mam świadomość, że decyzja zależy od właściwości jednostki, klasyfikacji, bezpieczeństwa i możliwości organizacyjnych.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dokument ustalenia okresu przygotowania;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dokumenty przyszłego miejsca pobytu i planu readaptacji.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zgoda na zamieszkanie;</w:t>
      </w:r>
    </w:p>
    <w:p>
      <w:pPr>
        <w:pStyle w:val="Pismo–treść"/>
        <w:spacing w:before="0"/>
      </w:pPr>
      <w:r>
        <w:rPr>
          <w:b w:val="0"/>
          <w:i w:val="0"/>
        </w:rPr>
        <w:t>2.  promesa zatrudnienia lub dokument leczenia;</w:t>
      </w:r>
    </w:p>
    <w:p>
      <w:pPr>
        <w:pStyle w:val="Pismo–treść"/>
        <w:spacing w:before="0"/>
      </w:pPr>
      <w:r>
        <w:rPr>
          <w:b w:val="0"/>
          <w:i w:val="0"/>
        </w:rPr>
        <w:t>3.  dokument ustalenia okresu z art. 164 KKW;</w:t>
      </w:r>
    </w:p>
    <w:p>
      <w:pPr>
        <w:pStyle w:val="Pismo–treść"/>
        <w:spacing w:before="0"/>
      </w:pPr>
      <w:r>
        <w:rPr>
          <w:b w:val="0"/>
          <w:i w:val="0"/>
        </w:rPr>
        <w:t>4.  dane kuratora lub instytucji readaptacyjnej.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