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POSTĘPOWANIE WYKONAWCZE  ·  WZÓR 36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rozłożenie na raty świadczenia pieniężnego lub nawiązki na rzecz Funduszu Sprawiedliwości</w:t>
      </w:r>
    </w:p>
    <w:p>
      <w:pPr>
        <w:pStyle w:val="Pismo–treść"/>
        <w:spacing w:before="0" w:after="200"/>
      </w:pPr>
      <w:r>
        <w:rPr>
          <w:b w:val="0"/>
          <w:i w:val="0"/>
        </w:rPr>
        <w:t>Wniosek musi dotyczyć należności objętej art. 206 § 3 KKW i zawierać realny harmonogram. Rata proponowana poniżej możliwości płatniczych bez dokumentów nie zwiększa szans na uwzględnienie.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206 § 3 KKW</w:t>
            </w:r>
          </w:p>
          <w:p>
            <w:pPr>
              <w:pStyle w:val="Podstawaprawna"/>
            </w:pPr>
            <w:r>
              <w:rPr>
                <w:i/>
              </w:rPr>
              <w:t>„Zasady wezwania, rat i umorzenia stosuje się odpowiednio do nawiązki lub świadczenia pieniężnego na rzecz Funduszu; okres rozłożenia na raty nie może przekroczyć 1 roku.”</w:t>
            </w:r>
          </w:p>
          <w:p>
            <w:pPr>
              <w:pStyle w:val="Podstawaprawna"/>
            </w:pPr>
            <w:r>
              <w:t>Wniosek powinien mieścić całość należności w realnym planie nie dłuższym niż 12 miesięcy.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49 § 1 KKW w zw. z art. 206 § 2–3 KKW</w:t>
            </w:r>
          </w:p>
          <w:p>
            <w:pPr>
              <w:pStyle w:val="Podstawaprawna"/>
            </w:pPr>
            <w:r>
              <w:rPr>
                <w:i/>
              </w:rPr>
              <w:t>„Raty mogą zostać zastosowane, gdy natychmiastowe ściągnięcie należności pociągnęłoby dla skazanego lub jego rodziny zbyt ciężkie skutki.”</w:t>
            </w:r>
          </w:p>
          <w:p>
            <w:pPr>
              <w:pStyle w:val="Podstawaprawna"/>
            </w:pPr>
            <w:r>
              <w:t>Trzeba wykazać dochody, majątek, stałe wydatki i liczbę osób na utrzymaniu.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wyroku przepisz z pierwszej strony prawomocnego orzeczenia. Sygnaturę wykonawczą przepisz z późniejszego postanowienia, zawiadomienia albo wezwania; nie zakładaj, że obie są takie same.</w:t>
      </w:r>
    </w:p>
    <w:p>
      <w:pPr>
        <w:pStyle w:val="Instrukcja–punkt"/>
        <w:spacing w:before="0"/>
      </w:pPr>
      <w:r>
        <w:rPr>
          <w:b w:val="0"/>
          <w:i w:val="0"/>
        </w:rPr>
        <w:t>•  Jeżeli nie znasz sygnatury wykonawczej, skontaktuj się z Biurem Obsługi Interesanta albo sekretariatem wydziału karnego sądu, który wydał wyrok w pierwszej instancji. Podaj imię, nazwisko, PESEL i sygnaturę wyroku.</w:t>
      </w:r>
    </w:p>
    <w:p>
      <w:pPr>
        <w:pStyle w:val="Instrukcja–punkt"/>
        <w:spacing w:before="0"/>
      </w:pPr>
      <w:r>
        <w:rPr>
          <w:b w:val="0"/>
          <w:i w:val="0"/>
        </w:rPr>
        <w:t>•  W sprawach penitencjarnych sąd ustala się najczęściej według miejsca osadzenia lub wykonywania dozoru. Nazwę jednostki penitencjarnej i właściwy sąd sprawdź na ostatnim piśmie albo w administracji zakładu karnego.</w:t>
      </w:r>
    </w:p>
    <w:p>
      <w:pPr>
        <w:pStyle w:val="Instrukcja–punkt"/>
        <w:spacing w:before="0"/>
      </w:pPr>
      <w:r>
        <w:rPr>
          <w:b w:val="0"/>
          <w:i w:val="0"/>
        </w:rPr>
        <w:t>•  Gdy pismo dotyczy kilku wyroków, wypisz wszystkie znane sygnatury, daty orzeczeń, sądy oraz rodzaje i rozmiary kar. Pominięcie jednego skazania może zmienić ocenę całej sprawy.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Sąd wykonujący orzeczenie i prowadzący ewidencję należności.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Najlepiej przed upływem terminu wskazanego w wezwaniu i przed egzekucją. Maksymalny okres rat dla tych należności wynosi 1 rok.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 wskazanej dla pierwszego wniosku; sprawdź pouczenie i aktualną praktykę sądu.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jednorazowa zapłata powodowałaby zbyt ciężkie skutki;</w:t>
      </w:r>
    </w:p>
    <w:p>
      <w:pPr>
        <w:pStyle w:val="Instrukcja–punkt"/>
        <w:spacing w:before="0"/>
      </w:pPr>
      <w:r>
        <w:rPr>
          <w:b w:val="0"/>
          <w:i w:val="0"/>
        </w:rPr>
        <w:t>•  skazany może zapłacić całość w ratach w ciągu maksymalnie roku.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dokładną kwotę i rodzaj należności;</w:t>
      </w:r>
    </w:p>
    <w:p>
      <w:pPr>
        <w:pStyle w:val="Instrukcja–punkt"/>
        <w:spacing w:before="0"/>
      </w:pPr>
      <w:r>
        <w:rPr>
          <w:b w:val="0"/>
          <w:i w:val="0"/>
        </w:rPr>
        <w:t>•  dochody, majątek i osoby na utrzymaniu;</w:t>
      </w:r>
    </w:p>
    <w:p>
      <w:pPr>
        <w:pStyle w:val="Instrukcja–punkt"/>
        <w:spacing w:before="0"/>
      </w:pPr>
      <w:r>
        <w:rPr>
          <w:b w:val="0"/>
          <w:i w:val="0"/>
        </w:rPr>
        <w:t>•  stałe konieczne wydatki i inne egzekucje;</w:t>
      </w:r>
    </w:p>
    <w:p>
      <w:pPr>
        <w:pStyle w:val="Instrukcja–punkt"/>
        <w:spacing w:before="0"/>
      </w:pPr>
      <w:r>
        <w:rPr>
          <w:b w:val="0"/>
          <w:i w:val="0"/>
        </w:rPr>
        <w:t>•  wysokość pierwszej raty i harmonogram całości.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wezwanie do zapłaty;</w:t>
      </w:r>
    </w:p>
    <w:p>
      <w:pPr>
        <w:pStyle w:val="Instrukcja–punkt"/>
        <w:spacing w:before="0"/>
      </w:pPr>
      <w:r>
        <w:rPr>
          <w:b w:val="0"/>
          <w:i w:val="0"/>
        </w:rPr>
        <w:t>•  dokumenty dochodów i wydatków;</w:t>
      </w:r>
    </w:p>
    <w:p>
      <w:pPr>
        <w:pStyle w:val="Instrukcja–punkt"/>
        <w:spacing w:before="0"/>
      </w:pPr>
      <w:r>
        <w:rPr>
          <w:b w:val="0"/>
          <w:i w:val="0"/>
        </w:rPr>
        <w:t>•  proponowany harmonogram rat;</w:t>
      </w:r>
    </w:p>
    <w:p>
      <w:pPr>
        <w:pStyle w:val="Instrukcja–punkt"/>
        <w:spacing w:before="0"/>
      </w:pPr>
      <w:r>
        <w:rPr>
          <w:b w:val="0"/>
          <w:i w:val="0"/>
        </w:rPr>
        <w:t>•  potwierdzenie wpłaty pierwszej części — jeżeli dokonano.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art. 206 § 3a KKW wyłącza raty, gdy należność jest wykonywana w szczególnym trybie z art. 11a lub 11b § 1;</w:t>
      </w:r>
    </w:p>
    <w:p>
      <w:pPr>
        <w:pStyle w:val="Instrukcja–punkt"/>
        <w:spacing w:before="0"/>
      </w:pPr>
      <w:r>
        <w:rPr>
          <w:b w:val="0"/>
          <w:i w:val="0"/>
        </w:rPr>
        <w:t>•  nie myl należności na rzecz Funduszu z nawiązką należną bezpośrednio pokrzywdzonemu.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Wnioskodawca / skazany: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wykonujący orzeczenie i prowadzący ewidencję należności.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ROZŁOŻENIE NA RATY ŚWIADCZENIA PIENIĘŻNEGO LUB NAWIĄZKI NA RZECZ FUNDUSZU SPRAWIEDLIWOŚCI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rozłożenie kwoty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zł na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miesięcznych rat po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zł, płatnych do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dnia każdego miesiąca;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ustalenie pierwszej raty na dzień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Jednorazowa zapłata spowodowałaby zbyt ciężkie skutki,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Moje miesięczne dochody wynoszą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a konieczne wydatki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Na utrzymaniu pozostają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Proponowany harmonogram pozwoli zapłacić całość w ciągu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miesięcy.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wezwanie do zapłaty;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dokumenty sytuacji finansowej;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harmonogram rat.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wezwanie do zapłaty;</w:t>
      </w:r>
    </w:p>
    <w:p>
      <w:pPr>
        <w:pStyle w:val="Pismo–treść"/>
        <w:spacing w:before="0"/>
      </w:pPr>
      <w:r>
        <w:rPr>
          <w:b w:val="0"/>
          <w:i w:val="0"/>
        </w:rPr>
        <w:t>2.  dokumenty dochodów i wydatków;</w:t>
      </w:r>
    </w:p>
    <w:p>
      <w:pPr>
        <w:pStyle w:val="Pismo–treść"/>
        <w:spacing w:before="0"/>
      </w:pPr>
      <w:r>
        <w:rPr>
          <w:b w:val="0"/>
          <w:i w:val="0"/>
        </w:rPr>
        <w:t>3.  proponowany harmonogram rat;</w:t>
      </w:r>
    </w:p>
    <w:p>
      <w:pPr>
        <w:pStyle w:val="Pismo–treść"/>
        <w:spacing w:before="0"/>
      </w:pPr>
      <w:r>
        <w:rPr>
          <w:b w:val="0"/>
          <w:i w:val="0"/>
        </w:rPr>
        <w:t>4.  potwierdzenie wpłaty pierwszej części — jeżeli dokonano.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