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  <w:keepNext/>
        <w:spacing w:before="0"/>
      </w:pPr>
      <w:r>
        <w:rPr>
          <w:b w:val="0"/>
          <w:i w:val="0"/>
        </w:rPr>
        <w:t>POSTĘPOWANIE WYKONAWCZE  ·  WZÓR 33</w:t>
      </w:r>
    </w:p>
    <w:p>
      <w:pPr>
        <w:pStyle w:val="Title"/>
        <w:keepNext/>
        <w:spacing w:before="0"/>
      </w:pPr>
      <w:r>
        <w:rPr>
          <w:b w:val="0"/>
          <w:i w:val="0"/>
        </w:rPr>
        <w:t>Wniosek o wydanie wyroku łącznego</w:t>
      </w:r>
    </w:p>
    <w:p>
      <w:pPr>
        <w:pStyle w:val="Pismo–treść"/>
        <w:spacing w:before="0" w:after="200"/>
      </w:pPr>
      <w:r>
        <w:rPr>
          <w:b w:val="0"/>
          <w:i w:val="0"/>
        </w:rPr>
        <w:t>Nie każda wielość wyroków pozwala połączyć kary. Trzeba odtworzyć chronologię czynów i wyroków oraz sprawdzić, które kary są tego samego rodzaju albo podlegają łączeniu.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wynika z przepisów</w:t>
      </w: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85 § 1 Kodeksu karnego</w:t>
            </w:r>
          </w:p>
          <w:p>
            <w:pPr>
              <w:pStyle w:val="Podstawaprawna"/>
            </w:pPr>
            <w:r>
              <w:rPr>
                <w:i/>
              </w:rPr>
              <w:t>„Jeżeli sprawca popełnił dwa lub więcej przestępstw, zanim zapadł pierwszy, choćby nieprawomocny wyrok co do któregokolwiek z nich, i wymierzono kary tego samego rodzaju albo inne podlegające łączeniu, sąd orzeka karę łączną.”</w:t>
            </w:r>
          </w:p>
          <w:p>
            <w:pPr>
              <w:pStyle w:val="Podstawaprawna"/>
            </w:pPr>
            <w:r>
              <w:t>Najważniejsza jest chronologia czynów i pierwszych wyroków, nie tylko liczba skazań.</w:t>
            </w:r>
          </w:p>
        </w:tc>
      </w:tr>
    </w:tbl>
    <w:p>
      <w:pPr>
        <w:spacing w:before="80" w:after="160"/>
      </w:pPr>
    </w:p>
    <w:p>
      <w:pPr>
        <w:spacing w:after="80"/>
      </w:pP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vAlign w:val="center"/>
            <w:shd w:fill="e9f0ec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pStyle w:val="Podstawaprawna"/>
            </w:pPr>
            <w:r>
              <w:rPr>
                <w:b/>
                <w:color w:val="153B38"/>
              </w:rPr>
              <w:t>art. 569 § 1 i art. 570 KPK</w:t>
            </w:r>
          </w:p>
          <w:p>
            <w:pPr>
              <w:pStyle w:val="Podstawaprawna"/>
            </w:pPr>
            <w:r>
              <w:rPr>
                <w:i/>
              </w:rPr>
              <w:t>„Właściwy jest co do zasady sąd ostatniego skazania w pierwszej instancji, a postępowanie może zostać wszczęte z urzędu albo na wniosek skazanego lub prokuratora.”</w:t>
            </w:r>
          </w:p>
          <w:p>
            <w:pPr>
              <w:pStyle w:val="Podstawaprawna"/>
            </w:pPr>
            <w:r>
              <w:t>Wniosek powinien wskazać wszystkie potencjalnie istotne wyroki, nawet jeżeli skazany nie potrafi sam przesądzić ich łączenia.</w:t>
            </w:r>
          </w:p>
        </w:tc>
      </w:tr>
    </w:tbl>
    <w:p>
      <w:pPr>
        <w:spacing w:before="80" w:after="160"/>
      </w:pPr>
    </w:p>
    <w:p>
      <w:pPr>
        <w:pStyle w:val="Heading1"/>
        <w:keepNext/>
        <w:spacing w:before="100" w:after="100"/>
      </w:pPr>
      <w:r>
        <w:rPr>
          <w:b w:val="0"/>
          <w:i w:val="0"/>
        </w:rPr>
        <w:t>Skąd wziąć sygnaturę i dane organu</w:t>
      </w:r>
    </w:p>
    <w:p>
      <w:pPr>
        <w:pStyle w:val="Instrukcja–punkt"/>
        <w:spacing w:before="0"/>
      </w:pPr>
      <w:r>
        <w:rPr>
          <w:b w:val="0"/>
          <w:i w:val="0"/>
        </w:rPr>
        <w:t>•  Sygnaturę wyroku przepisz z pierwszej strony prawomocnego orzeczenia. Sygnaturę wykonawczą przepisz z późniejszego postanowienia, zawiadomienia albo wezwania; nie zakładaj, że obie są takie same.</w:t>
      </w:r>
    </w:p>
    <w:p>
      <w:pPr>
        <w:pStyle w:val="Instrukcja–punkt"/>
        <w:spacing w:before="0"/>
      </w:pPr>
      <w:r>
        <w:rPr>
          <w:b w:val="0"/>
          <w:i w:val="0"/>
        </w:rPr>
        <w:t>•  Jeżeli nie znasz sygnatury wykonawczej, skontaktuj się z Biurem Obsługi Interesanta albo sekretariatem wydziału karnego sądu, który wydał wyrok w pierwszej instancji. Podaj imię, nazwisko, PESEL i sygnaturę wyroku.</w:t>
      </w:r>
    </w:p>
    <w:p>
      <w:pPr>
        <w:pStyle w:val="Instrukcja–punkt"/>
        <w:spacing w:before="0"/>
      </w:pPr>
      <w:r>
        <w:rPr>
          <w:b w:val="0"/>
          <w:i w:val="0"/>
        </w:rPr>
        <w:t>•  W sprawach penitencjarnych sąd ustala się najczęściej według miejsca osadzenia lub wykonywania dozoru. Nazwę jednostki penitencjarnej i właściwy sąd sprawdź na ostatnim piśmie albo w administracji zakładu karnego.</w:t>
      </w:r>
    </w:p>
    <w:p>
      <w:pPr>
        <w:pStyle w:val="Instrukcja–punkt"/>
        <w:spacing w:before="0"/>
      </w:pPr>
      <w:r>
        <w:rPr>
          <w:b w:val="0"/>
          <w:i w:val="0"/>
        </w:rPr>
        <w:t>•  Gdy pismo dotyczy kilku wyroków, wypisz wszystkie znane sygnatury, daty orzeczeń, sądy oraz rodzaje i rozmiary kar. Pominięcie jednego skazania może zmienić ocenę całej sprawy.</w:t>
      </w:r>
    </w:p>
    <w:p>
      <w:pPr>
        <w:pStyle w:val="Instrukcja–punkt"/>
        <w:spacing w:before="0"/>
      </w:pPr>
      <w:r>
        <w:rPr>
          <w:b w:val="0"/>
          <w:i w:val="0"/>
        </w:rPr>
        <w:t>•  Adresat tego pisma: Co do zasady sąd, który wydał ostatni wyrok skazujący w pierwszej instancji; jeżeli orzekały sądy różnego rzędu — sąd wyższego rzędu.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Termin, opłata, podpis i sposób złożenia</w:t>
      </w:r>
    </w:p>
    <w:p>
      <w:pPr>
        <w:pStyle w:val="Instrukcja–punkt"/>
        <w:spacing w:before="0"/>
      </w:pPr>
      <w:r>
        <w:rPr>
          <w:b w:val="0"/>
          <w:i w:val="0"/>
        </w:rPr>
        <w:t>•  Termin: Po prawomocnym skazaniu co najmniej dwoma wyrokami, gdy mogą zachodzić warunki do orzeczenia kary łącznej.</w:t>
      </w:r>
    </w:p>
    <w:p>
      <w:pPr>
        <w:pStyle w:val="Instrukcja–punkt"/>
        <w:spacing w:before="0"/>
      </w:pPr>
      <w:r>
        <w:rPr>
          <w:b w:val="0"/>
          <w:i w:val="0"/>
        </w:rPr>
        <w:t>•  Opłata: Brak odrębnej opłaty wskazanej dla wniosku o wydanie wyroku łącznego.</w:t>
      </w:r>
    </w:p>
    <w:p>
      <w:pPr>
        <w:pStyle w:val="Instrukcja–punkt"/>
        <w:spacing w:before="0"/>
      </w:pPr>
      <w:r>
        <w:rPr>
          <w:b w:val="0"/>
          <w:i w:val="0"/>
        </w:rPr>
        <w:t>•  Termin licz od zdarzenia wskazanego w pouczeniu i przepisie. Zanotuj dzień ogłoszenia, doręczenia lub faktycznego odebrania pisma; sama data wydania orzeczenia zwykle nie wystarcza.</w:t>
      </w:r>
    </w:p>
    <w:p>
      <w:pPr>
        <w:pStyle w:val="Instrukcja–punkt"/>
        <w:spacing w:before="0"/>
      </w:pPr>
      <w:r>
        <w:rPr>
          <w:b w:val="0"/>
          <w:i w:val="0"/>
        </w:rPr>
        <w:t>•  Pismo można złożyć w biurze podawczym — na własnej kopii poproś o datownik — albo nadać w sposób pozwalający zachować termin i dowód nadania. Zwykły e-mail nie zastępuje pisma procesowego.</w:t>
      </w:r>
    </w:p>
    <w:p>
      <w:pPr>
        <w:pStyle w:val="Instrukcja–punkt"/>
        <w:spacing w:before="0"/>
      </w:pPr>
      <w:r>
        <w:rPr>
          <w:b w:val="0"/>
          <w:i w:val="0"/>
        </w:rPr>
        <w:t>•  Osoba pozbawiona wolności przekazuje pismo administracji jednostki zgodnie z obowiązującą procedurą i powinna zachować potwierdzenie jego złożenia.</w:t>
      </w:r>
    </w:p>
    <w:p>
      <w:pPr>
        <w:pStyle w:val="Instrukcja–punkt"/>
        <w:spacing w:before="0"/>
      </w:pPr>
      <w:r>
        <w:rPr>
          <w:b w:val="0"/>
          <w:i w:val="0"/>
        </w:rPr>
        <w:t>•  Na końcu dokumentu złóż własnoręczny podpis. Niepodpisane pismo albo skan podpisu w zwykłej wiadomości e-mail może nie wywołać zamierzonego skutku.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Kiedy ten wzór może być użyteczny</w:t>
      </w:r>
    </w:p>
    <w:p>
      <w:pPr>
        <w:pStyle w:val="Instrukcja–punkt"/>
        <w:spacing w:before="0"/>
      </w:pPr>
      <w:r>
        <w:rPr>
          <w:b w:val="0"/>
          <w:i w:val="0"/>
        </w:rPr>
        <w:t>•  istnieją co najmniej dwa prawomocne skazania;</w:t>
      </w:r>
    </w:p>
    <w:p>
      <w:pPr>
        <w:pStyle w:val="Instrukcja–punkt"/>
        <w:spacing w:before="0"/>
      </w:pPr>
      <w:r>
        <w:rPr>
          <w:b w:val="0"/>
          <w:i w:val="0"/>
        </w:rPr>
        <w:t>•  chronologia czynów i wyroków może spełniać przesłanki art. 85 KK.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Co trzeba ustalić przed wypełnieniem</w:t>
      </w:r>
    </w:p>
    <w:p>
      <w:pPr>
        <w:pStyle w:val="Instrukcja–punkt"/>
        <w:spacing w:before="0"/>
      </w:pPr>
      <w:r>
        <w:rPr>
          <w:b w:val="0"/>
          <w:i w:val="0"/>
        </w:rPr>
        <w:t>•  daty popełnienia wszystkich czynów;</w:t>
      </w:r>
    </w:p>
    <w:p>
      <w:pPr>
        <w:pStyle w:val="Instrukcja–punkt"/>
        <w:spacing w:before="0"/>
      </w:pPr>
      <w:r>
        <w:rPr>
          <w:b w:val="0"/>
          <w:i w:val="0"/>
        </w:rPr>
        <w:t>•  daty, sygnatury i sądy wszystkich wyroków;</w:t>
      </w:r>
    </w:p>
    <w:p>
      <w:pPr>
        <w:pStyle w:val="Instrukcja–punkt"/>
        <w:spacing w:before="0"/>
      </w:pPr>
      <w:r>
        <w:rPr>
          <w:b w:val="0"/>
          <w:i w:val="0"/>
        </w:rPr>
        <w:t>•  rodzaje i wymiary kar oraz stan ich wykonania;</w:t>
      </w:r>
    </w:p>
    <w:p>
      <w:pPr>
        <w:pStyle w:val="Instrukcja–punkt"/>
        <w:spacing w:before="0"/>
      </w:pPr>
      <w:r>
        <w:rPr>
          <w:b w:val="0"/>
          <w:i w:val="0"/>
        </w:rPr>
        <w:t>•  czy któryś wyrok pochodzi z innego państwa UE.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Najczęściej potrzebne załączniki</w:t>
      </w:r>
    </w:p>
    <w:p>
      <w:pPr>
        <w:pStyle w:val="Instrukcja–punkt"/>
        <w:spacing w:before="0"/>
      </w:pPr>
      <w:r>
        <w:rPr>
          <w:b w:val="0"/>
          <w:i w:val="0"/>
        </w:rPr>
        <w:t>•  odpisy wyroków — jeżeli wnioskodawca je ma;</w:t>
      </w:r>
    </w:p>
    <w:p>
      <w:pPr>
        <w:pStyle w:val="Instrukcja–punkt"/>
        <w:spacing w:before="0"/>
      </w:pPr>
      <w:r>
        <w:rPr>
          <w:b w:val="0"/>
          <w:i w:val="0"/>
        </w:rPr>
        <w:t>•  aktualne obliczenia kar;</w:t>
      </w:r>
    </w:p>
    <w:p>
      <w:pPr>
        <w:pStyle w:val="Instrukcja–punkt"/>
        <w:spacing w:before="0"/>
      </w:pPr>
      <w:r>
        <w:rPr>
          <w:b w:val="0"/>
          <w:i w:val="0"/>
        </w:rPr>
        <w:t>•  zestawienie skazań w porządku chronologicznym;</w:t>
      </w:r>
    </w:p>
    <w:p>
      <w:pPr>
        <w:pStyle w:val="Instrukcja–punkt"/>
        <w:spacing w:before="0"/>
      </w:pPr>
      <w:r>
        <w:rPr>
          <w:b w:val="0"/>
          <w:i w:val="0"/>
        </w:rPr>
        <w:t>•  dokumenty istotne dla wymiaru kary łącznej.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Granice wzoru</w:t>
      </w:r>
    </w:p>
    <w:p>
      <w:pPr>
        <w:pStyle w:val="Instrukcja–punkt"/>
        <w:spacing w:before="0"/>
      </w:pPr>
      <w:r>
        <w:rPr>
          <w:b w:val="0"/>
          <w:i w:val="0"/>
        </w:rPr>
        <w:t>•  wzór nie zastępuje analizy akt, prawomocności orzeczenia, właściwości organu ani otrzymanego pouczenia;</w:t>
      </w:r>
    </w:p>
    <w:p>
      <w:pPr>
        <w:pStyle w:val="Instrukcja–punkt"/>
        <w:spacing w:before="0"/>
      </w:pPr>
      <w:r>
        <w:rPr>
          <w:b w:val="0"/>
          <w:i w:val="0"/>
        </w:rPr>
        <w:t>•  nie wolno dopisywać zdarzeń, przerabiać dokumentów, zatajać istotnych faktów ani przedstawiać przypuszczeń jako faktów;</w:t>
      </w:r>
    </w:p>
    <w:p>
      <w:pPr>
        <w:pStyle w:val="Instrukcja–punkt"/>
        <w:spacing w:before="0"/>
      </w:pPr>
      <w:r>
        <w:rPr>
          <w:b w:val="0"/>
          <w:i w:val="0"/>
        </w:rPr>
        <w:t>•  samo złożenie pisma nie oznacza jego uwzględnienia i co do zasady nie wstrzymuje innych czynności, chyba że ustawa lub odrębne rozstrzygnięcie stanowią inaczej;</w:t>
      </w:r>
    </w:p>
    <w:p>
      <w:pPr>
        <w:pStyle w:val="Instrukcja–punkt"/>
        <w:spacing w:before="0"/>
      </w:pPr>
      <w:r>
        <w:rPr>
          <w:b w:val="0"/>
          <w:i w:val="0"/>
        </w:rPr>
        <w:t>•  jeżeli termin jest krótki, osoba jest pozbawiona wolności albo grozi nieodwracalny skutek, pismo wymaga pilnej indywidualnej weryfikacji.</w:t>
      </w:r>
    </w:p>
    <w:p>
      <w:pPr>
        <w:pStyle w:val="Instrukcja–punkt"/>
        <w:spacing w:before="0"/>
      </w:pPr>
      <w:r>
        <w:rPr>
          <w:b w:val="0"/>
          <w:i w:val="0"/>
        </w:rPr>
        <w:t>•  połączenie kar nie oznacza automatycznie prostego skrócenia sumy;</w:t>
      </w:r>
    </w:p>
    <w:p>
      <w:pPr>
        <w:pStyle w:val="Instrukcja–punkt"/>
        <w:spacing w:before="0"/>
      </w:pPr>
      <w:r>
        <w:rPr>
          <w:b w:val="0"/>
          <w:i w:val="0"/>
        </w:rPr>
        <w:t>•  ustalenie właściwego prawa może zależeć od dat czynów, wyroków i zmian ustawowych.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Kontrola przed złożeniem</w:t>
      </w:r>
    </w:p>
    <w:p>
      <w:pPr>
        <w:pStyle w:val="Instrukcja–punkt"/>
        <w:spacing w:before="0"/>
      </w:pPr>
      <w:r>
        <w:rPr>
          <w:b w:val="0"/>
          <w:i w:val="0"/>
        </w:rPr>
        <w:t>□  wpisano właściwy sąd lub organ, dane składającego i prawidłową sygnaturę;</w:t>
      </w:r>
    </w:p>
    <w:p>
      <w:pPr>
        <w:pStyle w:val="Instrukcja–punkt"/>
        <w:spacing w:before="0"/>
      </w:pPr>
      <w:r>
        <w:rPr>
          <w:b w:val="0"/>
          <w:i w:val="0"/>
        </w:rPr>
        <w:t>□  żądanie jest jednoznaczne i odpowiada opisanym faktom;</w:t>
      </w:r>
    </w:p>
    <w:p>
      <w:pPr>
        <w:pStyle w:val="Instrukcja–punkt"/>
        <w:spacing w:before="0"/>
      </w:pPr>
      <w:r>
        <w:rPr>
          <w:b w:val="0"/>
          <w:i w:val="0"/>
        </w:rPr>
        <w:t>□  wszystkie daty, kwoty i nazwy przepisano z dokumentów bez zgadywania;</w:t>
      </w:r>
    </w:p>
    <w:p>
      <w:pPr>
        <w:pStyle w:val="Instrukcja–punkt"/>
        <w:spacing w:before="0"/>
      </w:pPr>
      <w:r>
        <w:rPr>
          <w:b w:val="0"/>
          <w:i w:val="0"/>
        </w:rPr>
        <w:t>□  każdy istotny fakt został powiązany z dokumentem albo innym dowodem;</w:t>
      </w:r>
    </w:p>
    <w:p>
      <w:pPr>
        <w:pStyle w:val="Instrukcja–punkt"/>
        <w:spacing w:before="0"/>
      </w:pPr>
      <w:r>
        <w:rPr>
          <w:b w:val="0"/>
          <w:i w:val="0"/>
        </w:rPr>
        <w:t>□  dołączono wszystkie wskazane załączniki i wymagane odpisy;</w:t>
      </w:r>
    </w:p>
    <w:p>
      <w:pPr>
        <w:pStyle w:val="Instrukcja–punkt"/>
        <w:spacing w:before="0"/>
      </w:pPr>
      <w:r>
        <w:rPr>
          <w:b w:val="0"/>
          <w:i w:val="0"/>
        </w:rPr>
        <w:t>□  usunięto czerwone instrukcje, nawiasy i warianty niedotyczące sprawy;</w:t>
      </w:r>
    </w:p>
    <w:p>
      <w:pPr>
        <w:pStyle w:val="Instrukcja–punkt"/>
        <w:spacing w:before="0"/>
      </w:pPr>
      <w:r>
        <w:rPr>
          <w:b w:val="0"/>
          <w:i w:val="0"/>
        </w:rPr>
        <w:t>□  pismo zostało podpisane, a kopia i potwierdzenie złożenia pozostają u składającego.</w:t>
      </w:r>
    </w:p>
    <w:p>
      <w:pPr>
        <w:pStyle w:val="Heading1"/>
        <w:keepNext/>
        <w:spacing w:before="100" w:after="100"/>
      </w:pPr>
      <w:r>
        <w:rPr>
          <w:b w:val="0"/>
          <w:i w:val="0"/>
        </w:rPr>
        <w:t>Najczęstsze błędy</w:t>
      </w:r>
    </w:p>
    <w:p>
      <w:pPr>
        <w:pStyle w:val="Instrukcja–punkt"/>
        <w:spacing w:before="0"/>
      </w:pPr>
      <w:r>
        <w:rPr>
          <w:b w:val="0"/>
          <w:i w:val="0"/>
        </w:rPr>
        <w:t>•  złożenie szablonu bez usunięcia czerwonych instrukcji i fikcyjnych danych;</w:t>
      </w:r>
    </w:p>
    <w:p>
      <w:pPr>
        <w:pStyle w:val="Instrukcja–punkt"/>
        <w:spacing w:before="0"/>
      </w:pPr>
      <w:r>
        <w:rPr>
          <w:b w:val="0"/>
          <w:i w:val="0"/>
        </w:rPr>
        <w:t>•  wpisanie numeru przesyłki, numeru protokołu albo sygnatury innej sprawy zamiast właściwej sygnatury;</w:t>
      </w:r>
    </w:p>
    <w:p>
      <w:pPr>
        <w:pStyle w:val="Instrukcja–punkt"/>
        <w:spacing w:before="0"/>
      </w:pPr>
      <w:r>
        <w:rPr>
          <w:b w:val="0"/>
          <w:i w:val="0"/>
        </w:rPr>
        <w:t>•  opisanie oczekiwanego wyniku bez sformułowania jednoznacznego żądania;</w:t>
      </w:r>
    </w:p>
    <w:p>
      <w:pPr>
        <w:pStyle w:val="Instrukcja–punkt"/>
        <w:spacing w:before="0"/>
      </w:pPr>
      <w:r>
        <w:rPr>
          <w:b w:val="0"/>
          <w:i w:val="0"/>
        </w:rPr>
        <w:t>•  powołanie dokumentu bez dołączenia go i bez wskazania, jaki fakt ma potwierdzać;</w:t>
      </w:r>
    </w:p>
    <w:p>
      <w:pPr>
        <w:pStyle w:val="Instrukcja–punkt"/>
        <w:spacing w:before="0"/>
      </w:pPr>
      <w:r>
        <w:rPr>
          <w:b w:val="0"/>
          <w:i w:val="0"/>
        </w:rPr>
        <w:t>•  wysłanie jedynego egzemplarza bez zachowania kopii oraz dowodu daty złożenia.</w:t>
      </w:r>
    </w:p>
    <w:p>
      <w:r>
        <w:br w:type="page"/>
      </w:r>
    </w:p>
    <w:p>
      <w:pPr>
        <w:pStyle w:val="Pismo–treść"/>
        <w:spacing w:before="0" w:after="200"/>
        <w:jc w:val="right"/>
      </w:pPr>
      <w:r>
        <w:rPr>
          <w:b w:val="0"/>
          <w:i w:val="0"/>
          <w:color w:val="B02033"/>
        </w:rPr>
        <w:t>[miejscowość]</w:t>
      </w:r>
      <w:r>
        <w:rPr>
          <w:b w:val="0"/>
          <w:i w:val="0"/>
        </w:rPr>
        <w:t xml:space="preserve">, dnia </w:t>
      </w:r>
      <w:r>
        <w:rPr>
          <w:b w:val="0"/>
          <w:i w:val="0"/>
          <w:color w:val="B02033"/>
        </w:rPr>
        <w:t>[dzień miesiąc rok]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Wnioskodawca / skazany:</w:t>
        <w:br/>
      </w:r>
      <w:r>
        <w:rPr>
          <w:b w:val="0"/>
          <w:i w:val="0"/>
          <w:color w:val="B02033"/>
        </w:rPr>
        <w:t>[imię i nazwisko]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[adres do korespondencji / jednostka]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[PESEL albo data urodzenia]</w:t>
      </w:r>
      <w:r>
        <w:rPr>
          <w:b w:val="0"/>
          <w:i w:val="0"/>
        </w:rPr>
        <w:br/>
      </w:r>
      <w:r>
        <w:rPr>
          <w:b w:val="0"/>
          <w:i w:val="0"/>
          <w:color w:val="B02033"/>
        </w:rPr>
        <w:t>[telefon lub e-mail — opcjonalnie]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 xml:space="preserve">Sygnatura akt: </w:t>
      </w:r>
      <w:r>
        <w:rPr>
          <w:b w:val="0"/>
          <w:i w:val="0"/>
          <w:color w:val="B02033"/>
        </w:rPr>
        <w:t>[sygnatura akt i inne znane oznaczenia]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Co do zasady sąd, który wydał ostatni wyrok skazujący w pierwszej instancji; jeżeli orzekały sądy różnego rzędu — sąd wyższego rzędu.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WYDANIE WYROKU ŁĄCZNEGO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wydanie wyroku łącznego obejmującego kary orzeczone wyrokami wskazanymi w uzasadnieniu;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zwrócenie się o akta i aktualne dane o wykonaniu kar;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wymierzenie kary łącznej po rozważeniu aktualnych danych o skazanym.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Wobec mnie wydano następujące prawomocne wyroki: </w:t>
      </w:r>
      <w:r>
        <w:rPr>
          <w:b w:val="0"/>
          <w:i w:val="0"/>
          <w:color w:val="B02033"/>
        </w:rPr>
        <w:t>[WYPEŁNIJ chronologicznie]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Czyny objęte wyrokami popełniono w dniach / okresach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 xml:space="preserve">, a pierwsze wyroki zapadały w dniach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Stan wykonania kar przedstawia się następująco: </w:t>
      </w:r>
      <w:r>
        <w:rPr>
          <w:b w:val="0"/>
          <w:i w:val="0"/>
          <w:color w:val="B02033"/>
        </w:rPr>
        <w:t>[WYPEŁNIJ]</w:t>
      </w:r>
      <w:r>
        <w:rPr>
          <w:b w:val="0"/>
          <w:i w:val="0"/>
        </w:rPr>
        <w:t>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 xml:space="preserve">Na potrzeby wymiaru kary łącznej wskazuję, że </w:t>
      </w:r>
      <w:r>
        <w:rPr>
          <w:b w:val="0"/>
          <w:i w:val="0"/>
          <w:color w:val="B02033"/>
        </w:rPr>
        <w:t>[WYPEŁNIJ: zachowanie, wykonanie obowiązków, sytuacja]</w:t>
      </w:r>
      <w:r>
        <w:rPr>
          <w:b w:val="0"/>
          <w:i w:val="0"/>
        </w:rPr>
        <w:t>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Dowody i dokumenty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odpisy wyroków;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zestawienie chronologii;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dokumenty wykonania kar i aktualnej sytuacji.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  <w:color w:val="B02033"/>
        </w:rPr>
        <w:t>[czytelny podpis]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odpisy wyroków — jeżeli wnioskodawca je ma;</w:t>
      </w:r>
    </w:p>
    <w:p>
      <w:pPr>
        <w:pStyle w:val="Pismo–treść"/>
        <w:spacing w:before="0"/>
      </w:pPr>
      <w:r>
        <w:rPr>
          <w:b w:val="0"/>
          <w:i w:val="0"/>
        </w:rPr>
        <w:t>2.  aktualne obliczenia kar;</w:t>
      </w:r>
    </w:p>
    <w:p>
      <w:pPr>
        <w:pStyle w:val="Pismo–treść"/>
        <w:spacing w:before="0"/>
      </w:pPr>
      <w:r>
        <w:rPr>
          <w:b w:val="0"/>
          <w:i w:val="0"/>
        </w:rPr>
        <w:t>3.  zestawienie skazań w porządku chronologicznym;</w:t>
      </w:r>
    </w:p>
    <w:p>
      <w:pPr>
        <w:pStyle w:val="Pismo–treść"/>
        <w:spacing w:before="0"/>
      </w:pPr>
      <w:r>
        <w:rPr>
          <w:b w:val="0"/>
          <w:i w:val="0"/>
        </w:rPr>
        <w:t>4.  dokumenty istotne dla wymiaru kary łącznej.</w:t>
      </w:r>
    </w:p>
    <w:p>
      <w:r>
        <w:br w:type="page"/>
      </w:r>
    </w:p>
    <w:p>
      <w:pPr>
        <w:pStyle w:val="Etykieta"/>
        <w:keepNext/>
        <w:spacing w:before="0"/>
      </w:pPr>
      <w:r>
        <w:rPr>
          <w:b w:val="0"/>
          <w:i w:val="0"/>
        </w:rPr>
        <w:t>MODELOWY PRZYKŁAD WYPEŁNIONEGO PISMA</w:t>
      </w:r>
    </w:p>
    <w:p>
      <w:pPr>
        <w:pStyle w:val="Pismo–małe"/>
        <w:spacing w:before="0" w:after="200"/>
      </w:pPr>
      <w:r>
        <w:rPr>
          <w:b w:val="0"/>
          <w:i/>
        </w:rPr>
        <w:t>Wszystkie osoby, adresy, sygnatury i zdarzenia w przykładzie są fikcyjne. Przykład pokazuje konstrukcję i poziom szczegółowości; nie jest gotową treścią dla innej sprawy.</w:t>
      </w:r>
    </w:p>
    <w:p>
      <w:pPr>
        <w:pStyle w:val="Pismo–treść"/>
        <w:spacing w:before="0" w:after="200"/>
        <w:jc w:val="right"/>
      </w:pPr>
      <w:r>
        <w:rPr>
          <w:b w:val="0"/>
          <w:i w:val="0"/>
        </w:rPr>
        <w:t>Łódź, 28 października 2026 r.</w:t>
      </w:r>
    </w:p>
    <w:p>
      <w:pPr>
        <w:pStyle w:val="Pismo–treść"/>
        <w:spacing w:before="0" w:after="100"/>
        <w:jc w:val="left"/>
      </w:pPr>
      <w:r>
        <w:rPr>
          <w:b w:val="0"/>
          <w:i w:val="0"/>
        </w:rPr>
        <w:t>Michał Przykładowy, Zakład Karny w Łowiczu (dane fikcyjne)</w:t>
      </w:r>
    </w:p>
    <w:p>
      <w:pPr>
        <w:pStyle w:val="Pismo–treść"/>
        <w:spacing w:before="0" w:after="160"/>
        <w:jc w:val="left"/>
      </w:pPr>
      <w:r>
        <w:rPr>
          <w:b w:val="0"/>
          <w:i w:val="0"/>
        </w:rPr>
        <w:t>Sygnatura akt: do ustalenia / sygnatury wyroków: IV K 000/24, VI K 000/25 (fikcyjne)</w:t>
      </w:r>
    </w:p>
    <w:p>
      <w:pPr>
        <w:pStyle w:val="Pismo–treść"/>
        <w:spacing w:before="0" w:after="260"/>
        <w:jc w:val="right"/>
      </w:pPr>
      <w:r>
        <w:rPr>
          <w:b w:val="0"/>
          <w:i w:val="0"/>
        </w:rPr>
        <w:t>Do:</w:t>
        <w:br/>
        <w:t>Sąd Rejonowy dla Łodzi-Śródmieścia w Łodzi, Wydział Karny</w:t>
      </w:r>
    </w:p>
    <w:p>
      <w:pPr>
        <w:keepNext/>
        <w:spacing w:before="0" w:after="240"/>
        <w:jc w:val="center"/>
      </w:pPr>
      <w:r>
        <w:rPr>
          <w:b/>
          <w:i w:val="0"/>
        </w:rPr>
        <w:t>WNIOSEK O WYDANIE WYROKU ŁĄCZNEGO</w:t>
      </w:r>
    </w:p>
    <w:p>
      <w:pPr>
        <w:pStyle w:val="Pismo–treść"/>
        <w:keepNext/>
        <w:spacing w:before="0"/>
      </w:pPr>
      <w:r>
        <w:rPr>
          <w:b/>
          <w:i w:val="0"/>
        </w:rPr>
        <w:t>Wnoszę o: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1.  wydanie wyroku łącznego obejmującego kary pozbawienia wolności orzeczone w sprawach IV K 000/24 i VI K 000/25;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2.  zwrócenie się do właściwych sądów i zakładu karnego o akta oraz aktualne obliczenie kar;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3.  uwzględnienie opinii o przebiegu odbywania kary.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Uzasadnienie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Wyrokiem Sądu Rejonowego dla Łodzi-Śródmieścia z 10 lipca 2024 r., sygn. IV K 000/24, skazano mnie na 1 rok pozbawienia wolności za czyn z 5 stycznia 2024 r. Wyrokiem tego samego sądu z 12 lutego 2025 r., sygn. VI K 000/25, skazano mnie na 10 miesięcy pozbawienia wolności za czyn z 20 marca 2024 r.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Oba czyny popełniono przed pierwszym wyrokiem z 10 lipca 2024 r. Kary są wykonywane kolejno. Wskazuję te dane do sprawdzenia w aktach; nie przesądzam samodzielnie zakresu łączenia.</w:t>
      </w:r>
    </w:p>
    <w:p>
      <w:pPr>
        <w:pStyle w:val="Pismo–treść"/>
        <w:spacing w:before="0"/>
        <w:jc w:val="both"/>
      </w:pPr>
      <w:r>
        <w:rPr>
          <w:b w:val="0"/>
          <w:i w:val="0"/>
        </w:rPr>
        <w:t>Od rozpoczęcia kary pracuję odpłatnie, ukończyłem program dotyczący odpowiedzialności za szkody majątkowe i spłacam obowiązek naprawienia szkody. Proszę o pozyskanie aktualnej opinii jednostki.</w:t>
      </w:r>
    </w:p>
    <w:p>
      <w:pPr>
        <w:pStyle w:val="Pismo–treść"/>
        <w:spacing w:before="280" w:after="160"/>
        <w:jc w:val="right"/>
      </w:pPr>
      <w:r>
        <w:rPr>
          <w:b w:val="0"/>
          <w:i w:val="0"/>
        </w:rPr>
        <w:t>podpis osoby z przykładu (fikcyjny)</w:t>
      </w:r>
    </w:p>
    <w:p>
      <w:pPr>
        <w:pStyle w:val="Heading2"/>
        <w:keepNext/>
        <w:spacing w:before="100" w:after="100"/>
      </w:pPr>
      <w:r>
        <w:rPr>
          <w:b w:val="0"/>
          <w:i w:val="0"/>
        </w:rPr>
        <w:t>Załączniki</w:t>
      </w:r>
    </w:p>
    <w:p>
      <w:pPr>
        <w:pStyle w:val="Pismo–treść"/>
        <w:spacing w:before="0"/>
      </w:pPr>
      <w:r>
        <w:rPr>
          <w:b w:val="0"/>
          <w:i w:val="0"/>
        </w:rPr>
        <w:t>1.  dokumenty opisane w uzasadnieniu;</w:t>
      </w:r>
    </w:p>
    <w:p>
      <w:pPr>
        <w:pStyle w:val="Pismo–treść"/>
        <w:spacing w:before="0"/>
      </w:pPr>
      <w:r>
        <w:rPr>
          <w:b w:val="0"/>
          <w:i w:val="0"/>
        </w:rPr>
        <w:t>2.  pozostałe załączniki właściwe dla przedstawionego przykładu.</w:t>
      </w:r>
    </w:p>
    <w:sectPr w:rsidR="00FC693F" w:rsidRPr="0006063C" w:rsidSect="00034616">
      <w:headerReference w:type="default" r:id="rId13"/>
      <w:footerReference w:type="default" r:id="rId14"/>
      <w:headerReference w:type="first" r:id="rId15"/>
      <w:headerReference w:type="even" r:id="rId16"/>
      <w:footerReference w:type="first" r:id="rId17"/>
      <w:footerReference w:type="even" r:id="rId18"/>
      <w:pgSz w:w="11906" w:h="16838"/>
      <w:pgMar w:top="1020" w:right="1247" w:bottom="964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ptos" w:hAnsi="Aptos"/>
        <w:color w:val="5B6764"/>
        <w:sz w:val="16"/>
      </w:rPr>
      <w:t>Materiał informacyjny · stan prawny: 28 października 2026 r. · adwokat-marcinkowska.pl</w:t>
    </w:r>
  </w:p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100"/>
      <w:ind w:left="283" w:hanging="283"/>
    </w:pPr>
    <w:rPr>
      <w:sz w:val="21"/>
    </w:rPr>
  </w:style>
  <w:style w:type="paragraph" w:customStyle="1" w:styleId="Pismo–treść">
    <w:name w:val="Pismo – treść"/>
    <w:basedOn w:val="Normal"/>
    <w:pPr>
      <w:spacing w:line="276" w:lineRule="auto" w:after="140"/>
    </w:pPr>
    <w:rPr>
      <w:sz w:val="22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  <w:style w:type="paragraph" w:customStyle="1" w:styleId="Podstawaprawna">
    <w:name w:val="Podstawa prawna"/>
    <w:basedOn w:val="Normal"/>
    <w:pPr>
      <w:spacing w:after="60"/>
    </w:pPr>
    <w:rPr>
      <w:rFonts w:ascii="Aptos" w:hAnsi="Aptos"/>
      <w:color w:val="1A3A37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header" Target="header4.xml"/><Relationship Id="rId16" Type="http://schemas.openxmlformats.org/officeDocument/2006/relationships/header" Target="header5.xml"/><Relationship Id="rId17" Type="http://schemas.openxmlformats.org/officeDocument/2006/relationships/footer" Target="footer4.xml"/><Relationship Id="rId18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warunkowe przedterminowe zwolnienie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