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27</w:t>
      </w:r>
    </w:p>
    <w:p>
      <w:pPr>
        <w:pStyle w:val="Title"/>
      </w:pPr>
      <w:r>
        <w:t>Zmiana formy obowiązku pracy</w:t>
      </w:r>
    </w:p>
    <w:p>
      <w:pPr>
        <w:pStyle w:val="Pismo–treść"/>
        <w:spacing w:after="260"/>
      </w:pPr>
      <w:r>
        <w:rPr>
          <w:color w:val="545E5D"/>
        </w:rPr>
        <w:t>W szczególnie uzasadnionych wypadkach sąd może przeliczyć pracę społeczną na potrącenie z wynagrodzenia albo odwrotnie według reguły ustawowej.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wykonujący karę ograniczenia wolności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63a Kodeksu karnego wykonawczego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 toku wykonywania kary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 wskazanej dla tego wniosku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 o zmianę formy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63A § 1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„W szczególnie uzasadnionych wypadkach sąd może zmienić formę obowiązku wykonywania pracy, przyjmując 20 godzin pracy na cele społeczne za równoważne 10% wynagrodzenia za pracę; orzeczona praca nie może przekroczyć 40 godzin w stosunku miesięcznym.”</w:t>
            </w:r>
          </w:p>
        </w:tc>
      </w:tr>
    </w:tbl>
    <w:p>
      <w:pPr>
        <w:pStyle w:val="Blok–odstęp"/>
      </w:pPr>
    </w:p>
    <w:p>
      <w:r>
        <w:t>Ustawowy przelicznik nie podlega swobodnej negocjacji. Przed wnioskiem trzeba obliczyć pozostałą część kary i wykazać szczególny, nie tylko wygodnościowy, powód zmiany.</w:t>
      </w:r>
    </w:p>
    <w:p>
      <w:r>
        <w:t>Na postanowienie w przedmiocie zmiany formy przysługuje zażalenie.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zachodzi szczególnie uzasadniony przypadek, a inna forma pozwoli rzeczywiście wykonać karę;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możliwe jest legalne potrącenie z wynagrodzenia albo realne wykonywanie pracy społecznej po zmianie.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jaka forma została orzeczona i ile kary wykonano;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przy potrąceniu potwierdź zatrudnienie oraz wysokość wynagrodzenia; przy pracy społecznej — dostępność i ograniczenia.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umowa lub zaświadczenie o zatrudnieniu i wynagrodzeniu;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informacja kuratora o dotychczasowym wykonaniu;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 przyczyny szczególnej.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ustawa przyjmuje przelicznik 20 godzin pracy na 10% wynagrodzenia i limit 40 godzin miesięcznie;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zakładaj, że sama preferencja wygodniejszej formy stanowi szczególnie uzasadniony wypadek.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i adres sądu wykonującego karę]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ZMIANĘ FORMY OBOWIĄZKU WYKONYWANIA PRACY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zmianę formy obowiązku z [WYPEŁNIJ] na [WYPEŁNIJ] z zastosowaniem ustawowego przelicznika;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ustalenie pozostałego wymiaru po uwzględnieniu dotychczasowego wykonania.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Wyrok przewiduje [WYPEŁNIJ]. Dotychczas wykonano [WYPEŁNIJ].</w:t>
      </w:r>
    </w:p>
    <w:p>
      <w:pPr>
        <w:pStyle w:val="Pismo–treść"/>
        <w:spacing w:line="276" w:lineRule="auto" w:after="120"/>
        <w:jc w:val="both"/>
      </w:pPr>
      <w:r>
        <w:t>Szczególnie uzasadniony przypadek polega na [WYPEŁNIJ].</w:t>
      </w:r>
    </w:p>
    <w:p>
      <w:pPr>
        <w:pStyle w:val="Pismo–treść"/>
        <w:spacing w:line="276" w:lineRule="auto" w:after="120"/>
        <w:jc w:val="both"/>
      </w:pPr>
      <w:r>
        <w:t>Nowa forma jest wykonalna, ponieważ [WYPEŁNIJ: zatrudnienie, grafik, miejsce pracy społecznej].</w:t>
      </w:r>
    </w:p>
    <w:p>
      <w:pPr>
        <w:pStyle w:val="Pismo–treść"/>
        <w:spacing w:line="276" w:lineRule="auto" w:after="120"/>
        <w:jc w:val="both"/>
      </w:pPr>
      <w:r>
        <w:t>Zmiana nie zmierza do uniknięcia kary, lecz do jej regularnego wykonania: [WYPEŁNIJ].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zaświadczenie pracodawcy / informacja o pracy społecznej;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informacja kuratora.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wskazane wyżej.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formy obowiązku pracy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