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Etykieta"/>
      </w:pPr>
      <w:r>
        <w:t>POSTĘPOWANIE WYKONAWCZE  ·  WZÓR 24</w:t>
      </w:r>
    </w:p>
    <w:p>
      <w:pPr>
        <w:pStyle w:val="Title"/>
      </w:pPr>
      <w:r>
        <w:t>Koszty sądowe — raty albo umorzenie</w:t>
      </w:r>
    </w:p>
    <w:p>
      <w:pPr>
        <w:pStyle w:val="Pismo–treść"/>
        <w:spacing w:after="260"/>
      </w:pPr>
      <w:r>
        <w:rPr>
          <w:color w:val="545E5D"/>
        </w:rPr>
        <w:t>Dwa odrębne warianty oparte na odpowiednim stosowaniu przepisów o grzywnie. Wybierz tylko ten, który odpowiada faktom.</w:t>
      </w:r>
    </w:p>
    <w:p>
      <w:pPr>
        <w:pStyle w:val="Blok–odstęp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rPr>
          <w:cantSplit/>
        </w:trPr>
        <w:tc>
          <w:tcPr>
            <w:tcW w:type="dxa" w:w="9412"/>
            <w:shd w:fill="F3EEE9"/>
            <w:tcMar>
              <w:top w:w="220" w:type="dxa"/>
              <w:start w:w="200" w:type="dxa"/>
              <w:bottom w:w="220" w:type="dxa"/>
              <w:end w:w="200" w:type="dxa"/>
            </w:tcMar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7F2838"/>
                <w:sz w:val="19"/>
              </w:rPr>
              <w:t>STOP — TO NIE JEST GOTOWE PISMO</w:t>
            </w:r>
          </w:p>
          <w:p>
            <w:pPr>
              <w:spacing w:after="0" w:line="283" w:lineRule="auto"/>
            </w:pPr>
            <w:r>
              <w:t>Nie drukuj i nie składaj pustego wzoru. Każde czerwone pole w nawiasie trzeba uzupełnić albo usunąć. Jeżeli po przygotowaniu pisma pozostał choć jeden czerwony nawias, dokument nie jest gotowy. Pusty formularz nie przedstawia żądania ani faktów i może nie wywołać oczekiwanego skutku procesowego.</w:t>
            </w:r>
          </w:p>
        </w:tc>
      </w:tr>
    </w:tbl>
    <w:p>
      <w:pPr>
        <w:pStyle w:val="Blok–odstęp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6917"/>
      </w:tblGrid>
      <w:tr>
        <w:trPr>
          <w:cantSplit/>
        </w:trPr>
        <w:tc>
          <w:tcPr>
            <w:tcW w:type="dxa" w:w="2268"/>
            <w:vAlign w:val="center"/>
            <w:shd w:fill="EAF2EF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ADRESAT</w:t>
            </w:r>
          </w:p>
        </w:tc>
        <w:tc>
          <w:tcPr>
            <w:tcW w:type="dxa" w:w="691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sz w:val="23"/>
              </w:rPr>
              <w:t>sąd wykonujący należności sądowe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EAF2EF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PODSTAWA</w:t>
            </w:r>
          </w:p>
        </w:tc>
        <w:tc>
          <w:tcPr>
            <w:tcW w:type="dxa" w:w="691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sz w:val="23"/>
              </w:rPr>
              <w:t>art. 206 § 2 KKW w zw. z art. 49–51 KKW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EAF2EF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TERMIN</w:t>
            </w:r>
          </w:p>
        </w:tc>
        <w:tc>
          <w:tcPr>
            <w:tcW w:type="dxa" w:w="691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sz w:val="23"/>
              </w:rPr>
              <w:t>najlepiej przed egzekucją; wezwanie przewiduje co do zasady 30 dni na zapłatę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EAF2EF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OPŁATA</w:t>
            </w:r>
          </w:p>
        </w:tc>
        <w:tc>
          <w:tcPr>
            <w:tcW w:type="dxa" w:w="691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sz w:val="23"/>
              </w:rPr>
              <w:t>brak odrębnej opłaty wskazanej dla pierwszego wniosku o raty/umorzenie kosztów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EAF2EF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TRYB</w:t>
            </w:r>
          </w:p>
        </w:tc>
        <w:tc>
          <w:tcPr>
            <w:tcW w:type="dxa" w:w="691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sz w:val="23"/>
              </w:rPr>
              <w:t>wniosek o raty albo umorzenie</w:t>
            </w:r>
          </w:p>
        </w:tc>
      </w:tr>
    </w:tbl>
    <w:p>
      <w:pPr>
        <w:pStyle w:val="Blok–odstęp"/>
      </w:pPr>
    </w:p>
    <w:p>
      <w:pPr>
        <w:pStyle w:val="Heading1"/>
      </w:pPr>
      <w:r>
        <w:t>Co wynika z przepisu</w:t>
      </w:r>
    </w:p>
    <w:p>
      <w:pPr>
        <w:pStyle w:val="Blok–odstęp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rPr>
          <w:cantSplit/>
        </w:trPr>
        <w:tc>
          <w:tcPr>
            <w:tcW w:type="dxa" w:w="9412"/>
            <w:shd w:fill="EAF2EF"/>
            <w:tcMar>
              <w:top w:w="220" w:type="dxa"/>
              <w:start w:w="200" w:type="dxa"/>
              <w:bottom w:w="220" w:type="dxa"/>
              <w:end w:w="200" w:type="dxa"/>
            </w:tcMar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ART. 206 § 1–2 KKW; KODEKS KARNY WYKONAWCZY, TEKST JEDNOLITY: DZ.U. Z 2026 R. POZ. 1307 — KLUCZOWY FRAGMENT</w:t>
            </w:r>
          </w:p>
          <w:p>
            <w:pPr>
              <w:spacing w:after="0" w:line="283" w:lineRule="auto"/>
            </w:pPr>
            <w:r>
              <w:t>„Sąd wzywa osobę zobowiązaną do uiszczenia kosztów sądowych [...] do ich zapłacenia w terminie 30 dni [...]. W zakresie rozkładania na raty i umarzania należności sądowych stosuje się odpowiednio art. 49–51.”</w:t>
            </w:r>
          </w:p>
        </w:tc>
      </w:tr>
    </w:tbl>
    <w:p>
      <w:pPr>
        <w:pStyle w:val="Blok–odstęp"/>
      </w:pPr>
    </w:p>
    <w:p>
      <w:r>
        <w:t>Odpowiednie stosowanie oznacza, że przesłanki rat i umorzenia trzeba dopasować do kosztów. Najpierw trzeba prawidłowo rozpoznać rodzaj każdej należności z wezwania.</w:t>
      </w:r>
    </w:p>
    <w:p>
      <w:r>
        <w:t>Dla części nawiązek, świadczeń i pieniężnego przepadku art. 206 przewiduje dodatkowe limity i wyłączenia.</w:t>
      </w:r>
    </w:p>
    <w:p>
      <w:pPr>
        <w:pStyle w:val="Heading1"/>
      </w:pPr>
      <w:r>
        <w:t>Skąd wziąć sygnaturę i dane organu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Sygnaturę sądową przepisz z pierwszej strony wyroku, postanowienia, wezwania albo zawiadomienia. Nie przepisuj przypadkowego numeru z koperty, potwierdzenia nadania ani numeru rachunku.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W jednej sprawie mogą występować różne sygnatury: sygnatura wyroku oraz późniejsza sygnatura wykonawcza. Wpisz obie, jeżeli je znasz. Sygnatury wykonawczej nie wymyślaj na podstawie skrótu wydziału.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Jeżeli nie znasz sygnatury wykonawczej, skontaktuj się z Biurem Obsługi Interesanta albo sekretariatem wydziału karnego sądu, który wydał wyrok w pierwszej instancji. Podaj imię i nazwisko, PESEL, datę wyroku i jego sygnaturę; poproś o potwierdzenie, który wydział prowadzi wykonanie i pod jaką sygnaturą.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W sprawach należących do sądu penitencjarnego ustal sąd według miejsca osadzenia albo innego łącznika wskazanego w instrukcji. Nazwę jednostki penitencjarnej znajdziesz na korespondencji z zakładu karnego; właściwość potwierdzi sekretariat wydziału penitencjarnego sądu okręgowego.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Sygnatura prokuratorska znajduje się na postanowieniu, wezwaniu lub piśmie prokuratury, zwykle obok oznaczenia jednostki. Gdy jej nie znasz, skontaktuj się z sekretariatem właściwej prokuratury i podaj dane pozwalające odszukać sprawę. Informacja może wymagać potwierdzenia tożsamości i uprawnienia do akt.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Imię i nazwisko konkretnego prokuratora zwykle nie jest potrzebne w piśmie do sądu. Jeżeli pismo ma trafić do prokuratury, oznacz jednostkę i sygnaturę; nazwisko wpisz tylko wtedy, gdy wynika z aktualnej korespondencji i ma znaczenie organizacyjne.</w:t>
      </w:r>
    </w:p>
    <w:p>
      <w:pPr>
        <w:pStyle w:val="Blok–odstęp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rPr>
          <w:cantSplit/>
        </w:trPr>
        <w:tc>
          <w:tcPr>
            <w:tcW w:type="dxa" w:w="9412"/>
            <w:shd w:fill="EAF2EF"/>
            <w:tcMar>
              <w:top w:w="220" w:type="dxa"/>
              <w:start w:w="200" w:type="dxa"/>
              <w:bottom w:w="220" w:type="dxa"/>
              <w:end w:w="200" w:type="dxa"/>
            </w:tcMar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NAJPROSTSZA ZASADA</w:t>
            </w:r>
          </w:p>
          <w:p>
            <w:pPr>
              <w:spacing w:after="0" w:line="283" w:lineRule="auto"/>
            </w:pPr>
            <w:r>
              <w:t>Nie zgaduj adresata. Najpierw przeczytaj nagłówek i pouczenie ostatniego pisma w sprawie. Jeżeli nadal są wątpliwości, ustal w sekretariacie, gdzie znajdują się akta i jaki organ jest właściwy dla konkretnego wniosku. Sekretariat może potwierdzić dane organizacyjne, ale nie zastąpi porady prawnej.</w:t>
            </w:r>
          </w:p>
        </w:tc>
      </w:tr>
    </w:tbl>
    <w:p>
      <w:pPr>
        <w:pStyle w:val="Blok–odstęp"/>
      </w:pPr>
    </w:p>
    <w:p>
      <w:pPr>
        <w:pStyle w:val="Heading1"/>
      </w:pPr>
      <w:r>
        <w:t>Termin, podpis i sposób złożenia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Termin licz od zdarzenia wskazanego w pouczeniu i przepisie. Zanotuj, kiedy pismo ogłoszono, doręczono albo odebrano. Nie licz terminu wyłącznie od daty widniejącej na orzeczeniu.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Jeżeli ostatni dzień przypada na sobotę albo dzień ustawowo wolny od pracy, reguły obliczania terminu wymagają osobnego sprawdzenia. Przy jakiejkolwiek wątpliwości złóż pismo wcześniej.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Pismo można złożyć osobiście w biurze podawczym — na kopii poproś o datownik — albo wysłać w sposób, który zachowuje termin i daje dowód nadania. Nie zakładaj, że zwykły e-mail, formularz kontaktowy lub dowolny kurier jest skutecznym sposobem wniesienia pisma procesowego.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Osoba pozbawiona wolności składa pismo administracji jednostki zgodnie z obowiązującą procedurą i powinna zachować potwierdzenie przekazania.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Na końcu złóż własnoręczny podpis. Jeżeli podpisuje obrońca albo pełnomocnik, oznaczenie i dokument umocowania muszą odpowiadać charakterowi sprawy.</w:t>
      </w:r>
    </w:p>
    <w:p>
      <w:pPr>
        <w:pStyle w:val="Heading1"/>
      </w:pPr>
      <w:r>
        <w:t>Kiedy ten wzór może być użyteczny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wariant A: jednorazowe koszty wywołałyby zbyt ciężkie skutki, ale regularne raty są możliwe;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wariant B: wyjątkowe przesłanki odpowiadające art. 51 KKW przemawiają za umorzeniem.</w:t>
      </w:r>
    </w:p>
    <w:p>
      <w:pPr>
        <w:pStyle w:val="Heading1"/>
      </w:pPr>
      <w:r>
        <w:t>Co trzeba ustalić przed wypełnieniem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sprawdź sygnaturę wyroku i sygnaturę postępowania wykonawczego; nie zakładaj, że są identyczne;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ustal datę oraz treść ostatniego postanowienia, wezwania lub zawiadomienia w sprawie;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opisz fakty chronologicznie i oddziel je od ocen; każdą istotną okoliczność powiąż z dokumentem albo innym dowodem;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sprawdź, czy równolegle nie biegnie termin do zaskarżenia innego rozstrzygnięcia.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sprawdź, które należności są kosztami sądowymi, a które grzywną, świadczeniem, nawiązką lub przepadkiem;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ustal, czy należność nie została już pobrana lub nie podlega szczególnemu sposobowi wykonania.</w:t>
      </w:r>
    </w:p>
    <w:p>
      <w:pPr>
        <w:pStyle w:val="Heading1"/>
      </w:pPr>
      <w:r>
        <w:t>Najczęściej potrzebne załączniki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wezwanie do zapłaty z wyszczególnieniem należności;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dokumenty budżetu i osób na utrzymaniu;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dla umorzenia — dowody przesłanek niezależnych i wyniku egzekucji.</w:t>
      </w:r>
    </w:p>
    <w:p>
      <w:pPr>
        <w:pStyle w:val="Heading1"/>
      </w:pPr>
      <w:r>
        <w:t>Granice wzoru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wzór nie zastępuje analizy akt, prawomocności orzeczeń ani właściwości sądu;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samo wniesienie pisma co do zasady nie wstrzymuje wykonania orzeczenia; jeżeli ustawa na to pozwala, potrzebne jest odrębne, wyraźne rozstrzygnięcie;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nie wolno tworzyć, przerabiać ani zatajać dowodów; opis musi odpowiadać rzeczywistemu stanowi rzeczy;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jeżeli termin jest krótki, osoba jest już pozbawiona wolności albo istnieje ryzyko zatrzymania, dokument powinien zostać pilnie zweryfikowany indywidualnie.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nie sumuj różnych należności bez sprawdzenia, czy dotyczą ich te same reguły i limity;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dla niektórych nawiązek, świadczeń i przepadku ustawa przewiduje szczególne ograniczenia okresu rat.</w:t>
      </w:r>
    </w:p>
    <w:p>
      <w:pPr>
        <w:pStyle w:val="Blok–odstęp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rPr>
          <w:cantSplit/>
        </w:trPr>
        <w:tc>
          <w:tcPr>
            <w:tcW w:type="dxa" w:w="9412"/>
            <w:shd w:fill="F3EEE9"/>
            <w:tcMar>
              <w:top w:w="220" w:type="dxa"/>
              <w:start w:w="200" w:type="dxa"/>
              <w:bottom w:w="220" w:type="dxa"/>
              <w:end w:w="200" w:type="dxa"/>
            </w:tcMar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7F2838"/>
                <w:sz w:val="19"/>
              </w:rPr>
              <w:t>PRZED ZŁOŻENIEM</w:t>
            </w:r>
          </w:p>
          <w:p>
            <w:pPr>
              <w:spacing w:after="0" w:line="283" w:lineRule="auto"/>
            </w:pPr>
            <w:r>
              <w:t>Usuń wszystkie czerwone nawiasy i instrukcje techniczne. Wpisz wyłącznie dane zgodne z dokumentami. Nie dołączaj materiałów zawierających dane osób trzecich, jeżeli nie są potrzebne do rozpoznania wniosku. Zachowaj kopię pisma oraz dowód jego wniesienia.</w:t>
            </w:r>
          </w:p>
        </w:tc>
      </w:tr>
    </w:tbl>
    <w:p>
      <w:pPr>
        <w:pStyle w:val="Blok–odstęp"/>
      </w:pPr>
    </w:p>
    <w:p>
      <w:pPr>
        <w:pStyle w:val="Heading1"/>
      </w:pPr>
      <w:r>
        <w:t>Kontrola przed złożeniem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na każdej stronie widnieje właściwe imię i nazwisko, a w nagłówku — prawidłowy sąd lub organ;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wskazano sygnaturę, dokładne żądanie i podstawę faktyczną;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daty, kwoty, okresy i dane z dokumentów zostały przepisane bez zmiany;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wszystkie powołane załączniki są dołączone, ponumerowane i wymienione na końcu;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uiszczono wymaganą opłatę albo dołączono właściwy wniosek dotyczący kosztów;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usunięto czerwone instrukcje oraz warianty, które nie dotyczą sprawy;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pismo jest podpisane, a kopia i potwierdzenie złożenia pozostają u wnioskodawcy.</w:t>
      </w:r>
    </w:p>
    <w:p>
      <w:pPr>
        <w:sectPr>
          <w:headerReference w:type="default" r:id="rId9"/>
          <w:footerReference w:type="default" r:id="rId10"/>
          <w:pgSz w:w="11906" w:h="16838"/>
          <w:pgMar w:top="1020" w:right="1247" w:bottom="964" w:left="1247" w:header="454" w:footer="454" w:gutter="0"/>
          <w:cols w:space="720"/>
          <w:docGrid w:linePitch="360"/>
        </w:sectPr>
      </w:pPr>
    </w:p>
    <w:p>
      <w:pPr>
        <w:pStyle w:val="Pismo–treść"/>
        <w:spacing w:line="252" w:lineRule="auto" w:after="60"/>
        <w:ind w:left="4422"/>
        <w:jc w:val="right"/>
      </w:pPr>
      <w:r>
        <w:rPr>
          <w:rFonts w:ascii="Liberation Sans" w:hAnsi="Liberation Sans" w:eastAsia="Liberation Sans"/>
          <w:b w:val="0"/>
          <w:color w:val="A62134"/>
        </w:rPr>
        <w:t>[miejscowość]</w:t>
      </w:r>
      <w:r>
        <w:t xml:space="preserve">, dnia </w:t>
      </w:r>
      <w:r>
        <w:rPr>
          <w:rFonts w:ascii="Liberation Sans" w:hAnsi="Liberation Sans" w:eastAsia="Liberation Sans"/>
          <w:b w:val="0"/>
          <w:color w:val="A62134"/>
        </w:rPr>
        <w:t>[dzień miesiąc rok]</w:t>
      </w:r>
    </w:p>
    <w:p>
      <w:pPr>
        <w:pStyle w:val="Pismo–treść"/>
        <w:spacing w:line="252" w:lineRule="auto" w:after="0"/>
        <w:ind w:right="4082"/>
        <w:jc w:val="left"/>
      </w:pPr>
      <w:r>
        <w:rPr>
          <w:b/>
        </w:rPr>
        <w:t>Wnioskodawca / skazany:</w:t>
        <w:br/>
      </w:r>
      <w:r>
        <w:rPr>
          <w:rFonts w:ascii="Liberation Sans" w:hAnsi="Liberation Sans" w:eastAsia="Liberation Sans"/>
          <w:b w:val="0"/>
          <w:color w:val="A62134"/>
        </w:rPr>
        <w:t>[imię i nazwisko]</w:t>
      </w:r>
      <w:r>
        <w:br/>
      </w:r>
      <w:r>
        <w:rPr>
          <w:rFonts w:ascii="Liberation Sans" w:hAnsi="Liberation Sans" w:eastAsia="Liberation Sans"/>
          <w:b w:val="0"/>
          <w:color w:val="A62134"/>
        </w:rPr>
        <w:t>[adres do korespondencji]</w:t>
      </w:r>
      <w:r>
        <w:br/>
      </w:r>
      <w:r>
        <w:rPr>
          <w:rFonts w:ascii="Liberation Sans" w:hAnsi="Liberation Sans" w:eastAsia="Liberation Sans"/>
          <w:b w:val="0"/>
          <w:color w:val="A62134"/>
        </w:rPr>
        <w:t>[PESEL albo data urodzenia]</w:t>
      </w:r>
      <w:r>
        <w:br/>
      </w:r>
      <w:r>
        <w:rPr>
          <w:rFonts w:ascii="Liberation Sans" w:hAnsi="Liberation Sans" w:eastAsia="Liberation Sans"/>
          <w:b w:val="0"/>
          <w:color w:val="A62134"/>
        </w:rPr>
        <w:t>[telefon lub e-mail — opcjonalnie]</w:t>
      </w:r>
    </w:p>
    <w:p>
      <w:pPr>
        <w:pStyle w:val="Pismo–treść"/>
        <w:spacing w:line="252" w:lineRule="auto" w:before="40" w:after="100"/>
        <w:ind w:right="1984"/>
        <w:jc w:val="left"/>
      </w:pPr>
      <w:r>
        <w:rPr>
          <w:b/>
        </w:rPr>
        <w:t xml:space="preserve">Sygnatura akt: </w:t>
      </w:r>
      <w:r>
        <w:rPr>
          <w:rFonts w:ascii="Liberation Sans" w:hAnsi="Liberation Sans" w:eastAsia="Liberation Sans"/>
          <w:b w:val="0"/>
          <w:color w:val="A62134"/>
        </w:rPr>
        <w:t>[sygnatura wykonawcza i/lub sygnatura wyroku]</w:t>
      </w:r>
    </w:p>
    <w:p>
      <w:pPr>
        <w:pStyle w:val="Pismo–treść"/>
        <w:spacing w:line="252" w:lineRule="auto" w:before="40" w:after="120"/>
        <w:ind w:left="4082"/>
        <w:jc w:val="right"/>
      </w:pPr>
      <w:r>
        <w:rPr>
          <w:b/>
        </w:rPr>
        <w:t>Do:</w:t>
        <w:br/>
      </w:r>
      <w:r>
        <w:rPr>
          <w:rFonts w:ascii="Liberation Sans" w:hAnsi="Liberation Sans" w:eastAsia="Liberation Sans"/>
          <w:b w:val="0"/>
          <w:color w:val="A62134"/>
        </w:rPr>
        <w:t>[nazwa i adres sądu]</w:t>
      </w:r>
    </w:p>
    <w:p>
      <w:pPr>
        <w:spacing w:before="80" w:after="80"/>
        <w:jc w:val="center"/>
      </w:pPr>
      <w:r>
        <w:rPr>
          <w:rFonts w:ascii="Liberation Sans" w:hAnsi="Liberation Sans" w:eastAsia="Liberation Sans"/>
          <w:b/>
          <w:color w:val="1F4B43"/>
          <w:sz w:val="31"/>
        </w:rPr>
        <w:t>WARIANT A — WNIOSEK O ROZŁOŻENIE KOSZTÓW SĄDOWYCH NA RATY</w:t>
      </w:r>
    </w:p>
    <w:p>
      <w:pPr>
        <w:pStyle w:val="Pismo–treść"/>
        <w:spacing w:line="276" w:lineRule="auto" w:after="120"/>
        <w:jc w:val="both"/>
      </w:pPr>
      <w:r>
        <w:rPr>
          <w:b/>
        </w:rPr>
        <w:t>Wnoszę o: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1.  </w:t>
      </w:r>
      <w:r>
        <w:t>rozłożenie kosztów sądowych w kwocie [WYPEŁNIJ] zł na [WYPEŁNIJ] rat po [WYPEŁNIJ] zł;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2.  </w:t>
      </w:r>
      <w:r>
        <w:t>ustalenie płatności do [WYPEŁNIJ] dnia miesiąca.</w:t>
      </w:r>
    </w:p>
    <w:p>
      <w:pPr>
        <w:pStyle w:val="Heading2"/>
      </w:pPr>
      <w:r>
        <w:t>Uzasadnienie</w:t>
      </w:r>
    </w:p>
    <w:p>
      <w:pPr>
        <w:pStyle w:val="Pismo–treść"/>
        <w:spacing w:line="276" w:lineRule="auto" w:after="120"/>
        <w:jc w:val="both"/>
      </w:pPr>
      <w:r>
        <w:t>Wezwanie z dnia [WYPEŁNIJ] obejmuje koszty [WYPEŁNIJ].</w:t>
      </w:r>
    </w:p>
    <w:p>
      <w:pPr>
        <w:pStyle w:val="Pismo–treść"/>
        <w:spacing w:line="276" w:lineRule="auto" w:after="120"/>
        <w:jc w:val="both"/>
      </w:pPr>
      <w:r>
        <w:t>Dochody wynoszą [WYPEŁNIJ], koszty konieczne [WYPEŁNIJ], osoby na utrzymaniu [WYPEŁNIJ].</w:t>
      </w:r>
    </w:p>
    <w:p>
      <w:pPr>
        <w:pStyle w:val="Pismo–treść"/>
        <w:spacing w:line="276" w:lineRule="auto" w:after="120"/>
        <w:jc w:val="both"/>
      </w:pPr>
      <w:r>
        <w:t>Jednorazowa zapłata spowoduje [WYPEŁNIJ], natomiast rata [WYPEŁNIJ] jest realna z uwagi na [WYPEŁNIJ].</w:t>
      </w:r>
    </w:p>
    <w:p>
      <w:pPr>
        <w:pStyle w:val="Heading2"/>
      </w:pPr>
      <w:r>
        <w:t>Dowody i dokumenty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1.  </w:t>
      </w:r>
      <w:r>
        <w:t>wezwanie;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2.  </w:t>
      </w:r>
      <w:r>
        <w:t>budżet i dokumenty dochodów/kosztów.</w:t>
      </w:r>
    </w:p>
    <w:p>
      <w:pPr>
        <w:pStyle w:val="Pismo–treść"/>
        <w:spacing w:before="80"/>
        <w:jc w:val="right"/>
      </w:pPr>
      <w:r>
        <w:rPr>
          <w:rFonts w:ascii="Liberation Sans" w:hAnsi="Liberation Sans" w:eastAsia="Liberation Sans"/>
          <w:b w:val="0"/>
          <w:color w:val="A62134"/>
        </w:rPr>
        <w:t>[czytelny podpis wnioskodawcy albo podpis pełnomocnika]</w:t>
      </w:r>
    </w:p>
    <w:p>
      <w:pPr>
        <w:pStyle w:val="Heading2"/>
        <w:keepNext/>
        <w:spacing w:before="80" w:after="60"/>
      </w:pPr>
      <w:r>
        <w:t>Załączniki</w:t>
      </w:r>
    </w:p>
    <w:p>
      <w:pPr>
        <w:pStyle w:val="Pismo–treść"/>
        <w:spacing w:line="276" w:lineRule="auto" w:after="40"/>
        <w:ind w:left="454" w:hanging="454"/>
        <w:jc w:val="both"/>
      </w:pPr>
      <w:r>
        <w:rPr>
          <w:b/>
        </w:rPr>
        <w:t xml:space="preserve">1.  </w:t>
      </w:r>
      <w:r>
        <w:t>dokumenty wskazane wyżej.</w:t>
      </w:r>
    </w:p>
    <w:p>
      <w:pPr>
        <w:sectPr>
          <w:headerReference w:type="default" r:id="rId11"/>
          <w:footerReference w:type="default" r:id="rId12"/>
          <w:pgSz w:w="11906" w:h="16838"/>
          <w:pgMar w:top="964" w:right="1361" w:bottom="737" w:left="1361" w:header="454" w:footer="454" w:gutter="0"/>
          <w:cols w:space="720"/>
          <w:docGrid w:linePitch="360"/>
        </w:sectPr>
      </w:pPr>
    </w:p>
    <w:p>
      <w:pPr>
        <w:pStyle w:val="Pismo–treść"/>
        <w:spacing w:line="252" w:lineRule="auto" w:after="60"/>
        <w:ind w:left="4422"/>
        <w:jc w:val="right"/>
      </w:pPr>
      <w:r>
        <w:rPr>
          <w:rFonts w:ascii="Liberation Sans" w:hAnsi="Liberation Sans" w:eastAsia="Liberation Sans"/>
          <w:b w:val="0"/>
          <w:color w:val="A62134"/>
        </w:rPr>
        <w:t>[miejscowość]</w:t>
      </w:r>
      <w:r>
        <w:t xml:space="preserve">, dnia </w:t>
      </w:r>
      <w:r>
        <w:rPr>
          <w:rFonts w:ascii="Liberation Sans" w:hAnsi="Liberation Sans" w:eastAsia="Liberation Sans"/>
          <w:b w:val="0"/>
          <w:color w:val="A62134"/>
        </w:rPr>
        <w:t>[dzień miesiąc rok]</w:t>
      </w:r>
    </w:p>
    <w:p>
      <w:pPr>
        <w:pStyle w:val="Pismo–treść"/>
        <w:spacing w:line="252" w:lineRule="auto" w:after="0"/>
        <w:ind w:right="4082"/>
        <w:jc w:val="left"/>
      </w:pPr>
      <w:r>
        <w:rPr>
          <w:b/>
        </w:rPr>
        <w:t>Wnioskodawca / skazany:</w:t>
        <w:br/>
      </w:r>
      <w:r>
        <w:rPr>
          <w:rFonts w:ascii="Liberation Sans" w:hAnsi="Liberation Sans" w:eastAsia="Liberation Sans"/>
          <w:b w:val="0"/>
          <w:color w:val="A62134"/>
        </w:rPr>
        <w:t>[imię i nazwisko]</w:t>
      </w:r>
      <w:r>
        <w:br/>
      </w:r>
      <w:r>
        <w:rPr>
          <w:rFonts w:ascii="Liberation Sans" w:hAnsi="Liberation Sans" w:eastAsia="Liberation Sans"/>
          <w:b w:val="0"/>
          <w:color w:val="A62134"/>
        </w:rPr>
        <w:t>[adres do korespondencji]</w:t>
      </w:r>
      <w:r>
        <w:br/>
      </w:r>
      <w:r>
        <w:rPr>
          <w:rFonts w:ascii="Liberation Sans" w:hAnsi="Liberation Sans" w:eastAsia="Liberation Sans"/>
          <w:b w:val="0"/>
          <w:color w:val="A62134"/>
        </w:rPr>
        <w:t>[PESEL albo data urodzenia]</w:t>
      </w:r>
      <w:r>
        <w:br/>
      </w:r>
      <w:r>
        <w:rPr>
          <w:rFonts w:ascii="Liberation Sans" w:hAnsi="Liberation Sans" w:eastAsia="Liberation Sans"/>
          <w:b w:val="0"/>
          <w:color w:val="A62134"/>
        </w:rPr>
        <w:t>[telefon lub e-mail — opcjonalnie]</w:t>
      </w:r>
    </w:p>
    <w:p>
      <w:pPr>
        <w:pStyle w:val="Pismo–treść"/>
        <w:spacing w:line="252" w:lineRule="auto" w:before="40" w:after="100"/>
        <w:ind w:right="1984"/>
        <w:jc w:val="left"/>
      </w:pPr>
      <w:r>
        <w:rPr>
          <w:b/>
        </w:rPr>
        <w:t xml:space="preserve">Sygnatura akt: </w:t>
      </w:r>
      <w:r>
        <w:rPr>
          <w:rFonts w:ascii="Liberation Sans" w:hAnsi="Liberation Sans" w:eastAsia="Liberation Sans"/>
          <w:b w:val="0"/>
          <w:color w:val="A62134"/>
        </w:rPr>
        <w:t>[sygnatura wykonawcza i/lub sygnatura wyroku]</w:t>
      </w:r>
    </w:p>
    <w:p>
      <w:pPr>
        <w:pStyle w:val="Pismo–treść"/>
        <w:spacing w:line="252" w:lineRule="auto" w:before="40" w:after="120"/>
        <w:ind w:left="4082"/>
        <w:jc w:val="right"/>
      </w:pPr>
      <w:r>
        <w:rPr>
          <w:b/>
        </w:rPr>
        <w:t>Do:</w:t>
        <w:br/>
      </w:r>
      <w:r>
        <w:rPr>
          <w:rFonts w:ascii="Liberation Sans" w:hAnsi="Liberation Sans" w:eastAsia="Liberation Sans"/>
          <w:b w:val="0"/>
          <w:color w:val="A62134"/>
        </w:rPr>
        <w:t>[nazwa i adres sądu]</w:t>
      </w:r>
    </w:p>
    <w:p>
      <w:pPr>
        <w:spacing w:before="80" w:after="80"/>
        <w:jc w:val="center"/>
      </w:pPr>
      <w:r>
        <w:rPr>
          <w:rFonts w:ascii="Liberation Sans" w:hAnsi="Liberation Sans" w:eastAsia="Liberation Sans"/>
          <w:b/>
          <w:color w:val="1F4B43"/>
          <w:sz w:val="31"/>
        </w:rPr>
        <w:t>WARIANT B — WNIOSEK O UMORZENIE KOSZTÓW SĄDOWYCH</w:t>
      </w:r>
    </w:p>
    <w:p>
      <w:pPr>
        <w:pStyle w:val="Pismo–treść"/>
        <w:spacing w:line="276" w:lineRule="auto" w:after="120"/>
        <w:jc w:val="both"/>
      </w:pPr>
      <w:r>
        <w:rPr>
          <w:b/>
        </w:rPr>
        <w:t>Wnoszę o: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1.  </w:t>
      </w:r>
      <w:r>
        <w:t>umorzenie kosztów sądowych w części [WYPEŁNIJ] / w całości;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2.  </w:t>
      </w:r>
      <w:r>
        <w:t>ewentualnie — umorzenie części i rozłożenie reszty na raty.</w:t>
      </w:r>
    </w:p>
    <w:p>
      <w:pPr>
        <w:pStyle w:val="Heading2"/>
      </w:pPr>
      <w:r>
        <w:t>Uzasadnienie</w:t>
      </w:r>
    </w:p>
    <w:p>
      <w:pPr>
        <w:pStyle w:val="Pismo–treść"/>
        <w:spacing w:line="276" w:lineRule="auto" w:after="120"/>
        <w:jc w:val="both"/>
      </w:pPr>
      <w:r>
        <w:t>Po powstaniu należności nastąpiło [WYPEŁNIJ: zdarzenie niezależne].</w:t>
      </w:r>
    </w:p>
    <w:p>
      <w:pPr>
        <w:pStyle w:val="Pismo–treść"/>
        <w:spacing w:line="276" w:lineRule="auto" w:after="120"/>
        <w:jc w:val="both"/>
      </w:pPr>
      <w:r>
        <w:t>Egzekucja jest niemożliwa / niecelowa z powodu [WYPEŁNIJ].</w:t>
      </w:r>
    </w:p>
    <w:p>
      <w:pPr>
        <w:pStyle w:val="Pismo–treść"/>
        <w:spacing w:line="276" w:lineRule="auto" w:after="120"/>
        <w:jc w:val="both"/>
      </w:pPr>
      <w:r>
        <w:t>Raty nie wystarczą, ponieważ [WYPEŁNIJ]. Zakres żądanego umorzenia wynika z [WYPEŁNIJ].</w:t>
      </w:r>
    </w:p>
    <w:p>
      <w:pPr>
        <w:pStyle w:val="Heading2"/>
      </w:pPr>
      <w:r>
        <w:t>Dowody i dokumenty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1.  </w:t>
      </w:r>
      <w:r>
        <w:t>wezwanie;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2.  </w:t>
      </w:r>
      <w:r>
        <w:t>dokument zdarzenia;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3.  </w:t>
      </w:r>
      <w:r>
        <w:t>dokumenty egzekucji i budżetu.</w:t>
      </w:r>
    </w:p>
    <w:p>
      <w:pPr>
        <w:pStyle w:val="Pismo–treść"/>
        <w:spacing w:before="80"/>
        <w:jc w:val="right"/>
      </w:pPr>
      <w:r>
        <w:rPr>
          <w:rFonts w:ascii="Liberation Sans" w:hAnsi="Liberation Sans" w:eastAsia="Liberation Sans"/>
          <w:b w:val="0"/>
          <w:color w:val="A62134"/>
        </w:rPr>
        <w:t>[czytelny podpis wnioskodawcy albo podpis pełnomocnika]</w:t>
      </w:r>
    </w:p>
    <w:p>
      <w:pPr>
        <w:pStyle w:val="Heading2"/>
        <w:keepNext/>
        <w:spacing w:before="80" w:after="60"/>
      </w:pPr>
      <w:r>
        <w:t>Załączniki</w:t>
      </w:r>
    </w:p>
    <w:p>
      <w:pPr>
        <w:pStyle w:val="Pismo–treść"/>
        <w:spacing w:line="276" w:lineRule="auto" w:after="40"/>
        <w:ind w:left="454" w:hanging="454"/>
        <w:jc w:val="both"/>
      </w:pPr>
      <w:r>
        <w:rPr>
          <w:b/>
        </w:rPr>
        <w:t xml:space="preserve">1.  </w:t>
      </w:r>
      <w:r>
        <w:t>dokumenty wskazane wyżej.</w:t>
      </w:r>
    </w:p>
    <w:sectPr w:rsidR="00FC693F" w:rsidRPr="0006063C" w:rsidSect="00034616">
      <w:headerReference w:type="default" r:id="rId13"/>
      <w:footerReference w:type="default" r:id="rId14"/>
      <w:pgSz w:w="11906" w:h="16838"/>
      <w:pgMar w:top="964" w:right="1361" w:bottom="737" w:left="1361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 w:eastAsia="Liberation Sans"/>
        <w:color w:val="545E5D"/>
        <w:sz w:val="16"/>
      </w:rPr>
      <w:t xml:space="preserve">Materiał ogólny · stan prawny zweryfikowany 28 października 2026 r. · nie zastępuje analizy konkretnej sprawy  |  </w:t>
    </w:r>
    <w:r>
      <w:fldChar w:fldCharType="begin"/>
      <w:instrText xml:space="preserve">PAGE</w:instrText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 w:eastAsia="Liberation Sans"/>
        <w:color w:val="545E5D"/>
        <w:sz w:val="17"/>
      </w:rPr>
      <w:t xml:space="preserve">Usuń czerwone instrukcje przed złożeniem  |  </w:t>
    </w:r>
    <w:r>
      <w:fldChar w:fldCharType="begin"/>
      <w:instrText xml:space="preserve">PAGE</w:instrText>
      <w:fldChar w:fldCharType="end"/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 w:eastAsia="Liberation Sans"/>
        <w:color w:val="545E5D"/>
        <w:sz w:val="17"/>
      </w:rPr>
      <w:t xml:space="preserve">Usuń czerwone instrukcje przed złożeniem  |  </w:t>
    </w:r>
    <w: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  <w:pBdr>
        <w:bottom w:val="single" w:sz="8" w:space="5" w:color="1F4B43"/>
      </w:pBdr>
    </w:pPr>
    <w:r>
      <w:rPr>
        <w:rFonts w:ascii="Liberation Sans" w:hAnsi="Liberation Sans" w:eastAsia="Liberation Sans"/>
        <w:b/>
        <w:color w:val="1F4B43"/>
        <w:sz w:val="16"/>
      </w:rPr>
      <w:t>KANCELARIA ADWOKACKA  ·  ADW. ANNA MARCINKOWSKA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Liberation Sans" w:hAnsi="Liberation Sans" w:eastAsia="Liberation Sans"/>
        <w:b/>
        <w:color w:val="A62134"/>
        <w:sz w:val="17"/>
      </w:rPr>
      <w:t>WZÓR DO SAMODZIELNEGO UZUPEŁNIENIA · NIE SKŁADAJ PUSTEGO FORMULARZA</w:t>
    </w: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Liberation Sans" w:hAnsi="Liberation Sans" w:eastAsia="Liberation Sans"/>
        <w:b/>
        <w:color w:val="A62134"/>
        <w:sz w:val="17"/>
      </w:rPr>
      <w:t>WZÓR DO SAMODZIELNEGO UZUPEŁNIENIA · NIE SKŁADAJ PUSTEGO FORMULARZA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74" w:lineRule="auto"/>
    </w:pPr>
    <w:rPr>
      <w:rFonts w:ascii="Liberation Serif" w:hAnsi="Liberation Serif" w:eastAsia="Liberation Serif"/>
      <w:color w:val="1C2323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00" w:after="160"/>
      <w:outlineLvl w:val="0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1F4B43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7F2838"/>
      <w:sz w:val="29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100"/>
      <w:outlineLvl w:val="2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1F4B43"/>
      <w:sz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pBdr>
        <w:bottom w:val="single" w:sz="8" w:space="4" w:color="4F81BD" w:themeColor="accent1"/>
      </w:pBdr>
      <w:spacing w:after="300" w:line="240" w:lineRule="auto" w:before="0"/>
      <w:contextualSpacing/>
    </w:pPr>
    <w:rPr>
      <w:rFonts w:asciiTheme="majorHAnsi" w:eastAsiaTheme="majorEastAsia" w:hAnsiTheme="majorHAnsi" w:cstheme="majorBidi" w:ascii="Liberation Sans" w:hAnsi="Liberation Sans" w:eastAsia="Liberation Sans"/>
      <w:b/>
      <w:color w:val="1F4B43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Instrukcja–punkt">
    <w:name w:val="Instrukcja – punkt"/>
    <w:basedOn w:val="Normal"/>
    <w:pPr>
      <w:spacing w:after="80"/>
      <w:ind w:left="283" w:hanging="283"/>
    </w:pPr>
  </w:style>
  <w:style w:type="paragraph" w:customStyle="1" w:styleId="Pismo–treść">
    <w:name w:val="Pismo – treść"/>
    <w:basedOn w:val="Normal"/>
    <w:pPr>
      <w:spacing w:line="283" w:lineRule="auto" w:after="160"/>
    </w:pPr>
    <w:rPr>
      <w:sz w:val="24"/>
    </w:rPr>
  </w:style>
  <w:style w:type="paragraph" w:customStyle="1" w:styleId="Pismo–małe">
    <w:name w:val="Pismo – małe"/>
    <w:basedOn w:val="Normal"/>
    <w:rPr>
      <w:color w:val="545E5D"/>
      <w:sz w:val="22"/>
    </w:rPr>
  </w:style>
  <w:style w:type="paragraph" w:customStyle="1" w:styleId="Etykieta">
    <w:name w:val="Etykieta"/>
    <w:basedOn w:val="Normal"/>
    <w:pPr>
      <w:spacing w:after="60"/>
    </w:pPr>
    <w:rPr>
      <w:rFonts w:ascii="Liberation Sans" w:hAnsi="Liberation Sans" w:eastAsia="Liberation Sans"/>
      <w:b/>
      <w:color w:val="1F4B43"/>
      <w:sz w:val="19"/>
    </w:rPr>
  </w:style>
  <w:style w:type="paragraph" w:customStyle="1" w:styleId="Blok–odstęp">
    <w:name w:val="Blok – odstęp"/>
    <w:basedOn w:val="Normal"/>
    <w:pPr>
      <w:spacing w:lineRule="exact" w:line="20" w:before="170" w:after="170"/>
    </w:pPr>
    <w:rPr>
      <w:sz w:val="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Koszty sądowe — raty albo umorzenie</dc:title>
  <dc:subject>Wzór pisma w postępowaniu wykonawczym z instrukcją</dc:subject>
  <dc:creator>Kancelaria Adwokacka adw. Anna Marcinkowska</dc:creator>
  <cp:keywords>postępowanie wykonawcze, KKW, wzór pisma, instrukcja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