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tykieta"/>
      </w:pPr>
      <w:r>
        <w:t>POSTĘPOWANIE WYKONAWCZE  ·  WZÓR 17</w:t>
      </w:r>
    </w:p>
    <w:p>
      <w:pPr>
        <w:pStyle w:val="Title"/>
      </w:pPr>
      <w:r>
        <w:t>Zmiana miejsca, harmonogramu albo obowiązków w SDE</w:t>
      </w:r>
    </w:p>
    <w:p>
      <w:pPr>
        <w:pStyle w:val="Pismo–treść"/>
        <w:spacing w:after="260"/>
      </w:pPr>
      <w:r>
        <w:rPr>
          <w:color w:val="545E5D"/>
        </w:rPr>
        <w:t>Wniosek trzeba skierować do właściwego organu i złożyć przed planowaną zmianą. Nagła zmiana godzin może należeć do kuratora.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STOP — TO NIE JEST GOTOWE PISMO</w:t>
            </w:r>
          </w:p>
          <w:p>
            <w:pPr>
              <w:spacing w:after="0" w:line="283" w:lineRule="auto"/>
            </w:pPr>
            <w:r>
              <w:t>Nie drukuj i nie składaj pustego wzoru. Każde czerwone pole w nawiasie trzeba uzupełnić albo usunąć. Jeżeli po przygotowaniu pisma pozostał choć jeden czerwony nawias, dokument nie jest gotowy. Pusty formularz nie przedstawia żądania ani faktów i może nie wywołać oczekiwanego skutku procesowego.</w:t>
            </w:r>
          </w:p>
        </w:tc>
      </w:tr>
    </w:tbl>
    <w:p>
      <w:pPr>
        <w:pStyle w:val="Blok–odstęp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6917"/>
      </w:tblGrid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ADRESAT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sąd penitencjarny; przy pilnej zmianie godzin — sądowy kurator zawodowy w granicach art. 43o § 4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PODSTAWA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art. 43nb i art. 43o KKW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TERMIN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przed zmianą; w przypadkach nagłych — niezwłocznie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OPŁATA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brak opłaty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EAF2EF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TRYB</w:t>
            </w:r>
          </w:p>
        </w:tc>
        <w:tc>
          <w:tcPr>
            <w:tcW w:type="dxa" w:w="6917"/>
            <w:vAlign w:val="center"/>
            <w:tcMar>
              <w:top w:w="120" w:type="dxa"/>
              <w:start w:w="140" w:type="dxa"/>
              <w:bottom w:w="120" w:type="dxa"/>
              <w:end w:w="140" w:type="dxa"/>
            </w:tcMar>
          </w:tcPr>
          <w:p>
            <w:pPr>
              <w:spacing w:after="0"/>
            </w:pPr>
            <w:r>
              <w:rPr>
                <w:sz w:val="23"/>
              </w:rPr>
              <w:t>wniosek o modyfikację warunków dozoru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Co wynika z przepisu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ART. 43O § 1, 3 I 4 KKW; KODEKS KARNY WYKONAWCZY, TEKST JEDNOLITY: DZ.U. Z 2026 R. POZ. 1307 — KLUCZOWY FRAGMENT</w:t>
            </w:r>
          </w:p>
          <w:p>
            <w:pPr>
              <w:spacing w:after="0" w:line="283" w:lineRule="auto"/>
            </w:pPr>
            <w:r>
              <w:t>„W wyjątkowym przypadku, uzasadnionym szczególnymi okolicznościami, sąd penitencjarny może zmienić miejsce wykonywania dozoru stacjonarnego.” W uzasadnionych przypadkach może też zmienić przedziały czasu, a pilną zmianę godzin może wprowadzić kurator.</w:t>
            </w:r>
          </w:p>
        </w:tc>
      </w:tr>
    </w:tbl>
    <w:p>
      <w:pPr>
        <w:pStyle w:val="Blok–odstęp"/>
      </w:pPr>
    </w:p>
    <w:p>
      <w:r>
        <w:t>Zmiana lokalu ma wyższy próg niż zwykła korekta godzin. Nowe miejsce wymaga ponownego sprawdzenia technicznego i danych współmieszkańców.</w:t>
      </w:r>
    </w:p>
    <w:p>
      <w:r>
        <w:t>Pilna decyzja kuratora dotyczy przedziałów czasu, nie dowolnej zmiany wszystkich warunków dozoru.</w:t>
      </w:r>
    </w:p>
    <w:p>
      <w:pPr>
        <w:pStyle w:val="Heading1"/>
      </w:pPr>
      <w:r>
        <w:t>Skąd wziąć sygnaturę i dane organu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Sygnaturę sądową przepisz z pierwszej strony wyroku, postanowienia, wezwania albo zawiadomienia. Nie przepisuj przypadkowego numeru z koperty, potwierdzenia nadania ani numeru rachunku.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jednej sprawie mogą występować różne sygnatury: sygnatura wyroku oraz późniejsza sygnatura wykonawcza. Wpisz obie, jeżeli je znasz. Sygnatury wykonawczej nie wymyślaj na podstawie skrótu wydziału.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nie znasz sygnatury wykonawczej, skontaktuj się z Biurem Obsługi Interesanta albo sekretariatem wydziału karnego sądu, który wydał wyrok w pierwszej instancji. Podaj imię i nazwisko, PESEL, datę wyroku i jego sygnaturę; poproś o potwierdzenie, który wydział prowadzi wykonanie i pod jaką sygnaturą.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 sprawach należących do sądu penitencjarnego ustal sąd według miejsca osadzenia albo innego łącznika wskazanego w instrukcji. Nazwę jednostki penitencjarnej znajdziesz na korespondencji z zakładu karnego; właściwość potwierdzi sekretariat wydziału penitencjarnego sądu okręgowego.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Sygnatura prokuratorska znajduje się na postanowieniu, wezwaniu lub piśmie prokuratury, zwykle obok oznaczenia jednostki. Gdy jej nie znasz, skontaktuj się z sekretariatem właściwej prokuratury i podaj dane pozwalające odszukać sprawę. Informacja może wymagać potwierdzenia tożsamości i uprawnienia do akt.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Imię i nazwisko konkretnego prokuratora zwykle nie jest potrzebne w piśmie do sądu. Jeżeli pismo ma trafić do prokuratury, oznacz jednostkę i sygnaturę; nazwisko wpisz tylko wtedy, gdy wynika z aktualnej korespondencji i ma znaczenie organizacyjne.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EAF2EF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1F4B43"/>
                <w:sz w:val="19"/>
              </w:rPr>
              <w:t>NAJPROSTSZA ZASADA</w:t>
            </w:r>
          </w:p>
          <w:p>
            <w:pPr>
              <w:spacing w:after="0" w:line="283" w:lineRule="auto"/>
            </w:pPr>
            <w:r>
              <w:t>Nie zgaduj adresata. Najpierw przeczytaj nagłówek i pouczenie ostatniego pisma w sprawie. Jeżeli nadal są wątpliwości, ustal w sekretariacie, gdzie znajdują się akta i jaki organ jest właściwy dla konkretnego wniosku. Sekretariat może potwierdzić dane organizacyjne, ale nie zastąpi porady prawnej.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Termin, podpis i sposób złożenia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Termin licz od zdarzenia wskazanego w pouczeniu i przepisie. Zanotuj, kiedy pismo ogłoszono, doręczono albo odebrano. Nie licz terminu wyłącznie od daty widniejącej na orzeczeniu.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ostatni dzień przypada na sobotę albo dzień ustawowo wolny od pracy, reguły obliczania terminu wymagają osobnego sprawdzenia. Przy jakiejkolwiek wątpliwości złóż pismo wcześniej.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Pismo można złożyć osobiście w biurze podawczym — na kopii poproś o datownik — albo wysłać w sposób, który zachowuje termin i daje dowód nadania. Nie zakładaj, że zwykły e-mail, formularz kontaktowy lub dowolny kurier jest skutecznym sposobem wniesienia pisma procesowego.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Osoba pozbawiona wolności składa pismo administracji jednostki zgodnie z obowiązującą procedurą i powinna zachować potwierdzenie przekazania.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Na końcu złóż własnoręczny podpis. Jeżeli podpisuje obrońca albo pełnomocnik, oznaczenie i dokument umocowania muszą odpowiadać charakterowi sprawy.</w:t>
      </w:r>
    </w:p>
    <w:p>
      <w:pPr>
        <w:pStyle w:val="Heading1"/>
      </w:pPr>
      <w:r>
        <w:t>Kiedy ten wzór może być użyteczny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wyjątkowe okoliczności wymagają zmiany miejsca dozoru;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uzasadniona zmiana pracy, terapii, opieki lub nauki wymaga nowych przedziałów czasu;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względy wychowawcze przemawiają za zmianą ustawowo modyfikowalnego obowiązku.</w:t>
      </w:r>
    </w:p>
    <w:p>
      <w:pPr>
        <w:pStyle w:val="Heading1"/>
      </w:pPr>
      <w:r>
        <w:t>Co trzeba ustalić przed wypełnieniem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 sygnaturę wyroku i sygnaturę postępowania wykonawczego; nie zakładaj, że są identyczne;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datę oraz treść ostatniego postanowienia, wezwania lub zawiadomienia w sprawie;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opisz fakty chronologicznie i oddziel je od ocen; każdą istotną okoliczność powiąż z dokumentem albo innym dowodem;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sprawdź, czy równolegle nie biegnie termin do zaskarżenia innego rozstrzygnięcia.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ustal dokładną treść obowiązującego postanowienia i nie przekraczaj harmonogramu przed uzyskaniem decyzji;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przy zmianie lokalu zbierz zgody nowych dorosłych współmieszkańców i dane do sprawdzenia warunków technicznych.</w:t>
      </w:r>
    </w:p>
    <w:p>
      <w:pPr>
        <w:pStyle w:val="Heading1"/>
      </w:pPr>
      <w:r>
        <w:t>Najczęściej potrzebne załączniki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dotychczasowe postanowienie;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nowy harmonogram albo dane nowego lokalu;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zgody współmieszkańców;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dokument potwierdzający przyczynę zmiany i jej datę.</w:t>
      </w:r>
    </w:p>
    <w:p>
      <w:pPr>
        <w:pStyle w:val="Heading1"/>
      </w:pPr>
      <w:r>
        <w:t>Granice wzoru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wzór nie zastępuje analizy akt, prawomocności orzeczeń ani właściwości sądu;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samo wniesienie pisma co do zasady nie wstrzymuje wykonania orzeczenia; jeżeli ustawa na to pozwala, potrzebne jest odrębne, wyraźne rozstrzygnięcie;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nie wolno tworzyć, przerabiać ani zatajać dowodów; opis musi odpowiadać rzeczywistemu stanowi rzeczy;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jeżeli termin jest krótki, osoba jest już pozbawiona wolności albo istnieje ryzyko zatrzymania, dokument powinien zostać pilnie zweryfikowany indywidualnie.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zmiana miejsca wymaga wyjątkowego przypadku i szczególnych okoliczności; zwykła wygoda może nie wystarczyć;</w:t>
      </w:r>
    </w:p>
    <w:p>
      <w:pPr>
        <w:pStyle w:val="Instrukcja–punkt"/>
      </w:pPr>
      <w:r>
        <w:rPr>
          <w:b/>
          <w:color w:val="7F2838"/>
        </w:rPr>
        <w:t xml:space="preserve">•  </w:t>
      </w:r>
      <w:r>
        <w:t>do czasu zmiany obowiązuje dotychczasowy harmonogram i miejsce.</w:t>
      </w:r>
    </w:p>
    <w:p>
      <w:pPr>
        <w:pStyle w:val="Blok–odstęp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rPr>
          <w:cantSplit/>
        </w:trPr>
        <w:tc>
          <w:tcPr>
            <w:tcW w:type="dxa" w:w="9412"/>
            <w:shd w:fill="F3EEE9"/>
            <w:tcMar>
              <w:top w:w="220" w:type="dxa"/>
              <w:start w:w="200" w:type="dxa"/>
              <w:bottom w:w="220" w:type="dxa"/>
              <w:end w:w="200" w:type="dxa"/>
            </w:tcMar>
          </w:tcPr>
          <w:p>
            <w:pPr>
              <w:spacing w:after="60"/>
            </w:pPr>
            <w:r>
              <w:rPr>
                <w:rFonts w:ascii="Liberation Sans" w:hAnsi="Liberation Sans" w:eastAsia="Liberation Sans"/>
                <w:b/>
                <w:color w:val="7F2838"/>
                <w:sz w:val="19"/>
              </w:rPr>
              <w:t>PRZED ZŁOŻENIEM</w:t>
            </w:r>
          </w:p>
          <w:p>
            <w:pPr>
              <w:spacing w:after="0" w:line="283" w:lineRule="auto"/>
            </w:pPr>
            <w:r>
              <w:t>Usuń wszystkie czerwone nawiasy i instrukcje techniczne. Wpisz wyłącznie dane zgodne z dokumentami. Nie dołączaj materiałów zawierających dane osób trzecich, jeżeli nie są potrzebne do rozpoznania wniosku. Zachowaj kopię pisma oraz dowód jego wniesienia.</w:t>
            </w:r>
          </w:p>
        </w:tc>
      </w:tr>
    </w:tbl>
    <w:p>
      <w:pPr>
        <w:pStyle w:val="Blok–odstęp"/>
      </w:pPr>
    </w:p>
    <w:p>
      <w:pPr>
        <w:pStyle w:val="Heading1"/>
      </w:pPr>
      <w:r>
        <w:t>Kontrola przed złożeniem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na każdej stronie widnieje właściwe imię i nazwisko, a w nagłówku — prawidłowy sąd lub organ;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wskazano sygnaturę, dokładne żądanie i podstawę faktyczną;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daty, kwoty, okresy i dane z dokumentów zostały przepisane bez zmiany;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wszystkie powołane załączniki są dołączone, ponumerowane i wymienione na końcu;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uiszczono wymaganą opłatę albo dołączono właściwy wniosek dotyczący kosztów;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usunięto czerwone instrukcje oraz warianty, które nie dotyczą sprawy;</w:t>
      </w:r>
    </w:p>
    <w:p>
      <w:pPr>
        <w:pStyle w:val="Instrukcja–punkt"/>
      </w:pPr>
      <w:r>
        <w:rPr>
          <w:b/>
          <w:color w:val="7F2838"/>
        </w:rPr>
        <w:t xml:space="preserve">□  </w:t>
      </w:r>
      <w:r>
        <w:t>pismo jest podpisane, a kopia i potwierdzenie złożenia pozostają u wnioskodawcy.</w:t>
      </w:r>
    </w:p>
    <w:p>
      <w:pPr>
        <w:sectPr>
          <w:headerReference w:type="default" r:id="rId9"/>
          <w:footerReference w:type="default" r:id="rId10"/>
          <w:pgSz w:w="11906" w:h="16838"/>
          <w:pgMar w:top="1020" w:right="1247" w:bottom="964" w:left="1247" w:header="454" w:footer="454" w:gutter="0"/>
          <w:cols w:space="720"/>
          <w:docGrid w:linePitch="360"/>
        </w:sectPr>
      </w:pPr>
    </w:p>
    <w:p>
      <w:pPr>
        <w:pStyle w:val="Pismo–treść"/>
        <w:spacing w:line="252" w:lineRule="auto" w:after="60"/>
        <w:ind w:left="4422"/>
        <w:jc w:val="right"/>
      </w:pPr>
      <w:r>
        <w:rPr>
          <w:rFonts w:ascii="Liberation Sans" w:hAnsi="Liberation Sans" w:eastAsia="Liberation Sans"/>
          <w:b w:val="0"/>
          <w:color w:val="A62134"/>
        </w:rPr>
        <w:t>[miejscowość]</w:t>
      </w:r>
      <w:r>
        <w:t xml:space="preserve">, dnia </w:t>
      </w:r>
      <w:r>
        <w:rPr>
          <w:rFonts w:ascii="Liberation Sans" w:hAnsi="Liberation Sans" w:eastAsia="Liberation Sans"/>
          <w:b w:val="0"/>
          <w:color w:val="A62134"/>
        </w:rPr>
        <w:t>[dzień miesiąc rok]</w:t>
      </w:r>
    </w:p>
    <w:p>
      <w:pPr>
        <w:pStyle w:val="Pismo–treść"/>
        <w:spacing w:line="252" w:lineRule="auto" w:after="0"/>
        <w:ind w:right="4082"/>
        <w:jc w:val="left"/>
      </w:pPr>
      <w:r>
        <w:rPr>
          <w:b/>
        </w:rPr>
        <w:t>Wnioskodawca / skazany:</w:t>
        <w:br/>
      </w:r>
      <w:r>
        <w:rPr>
          <w:rFonts w:ascii="Liberation Sans" w:hAnsi="Liberation Sans" w:eastAsia="Liberation Sans"/>
          <w:b w:val="0"/>
          <w:color w:val="A62134"/>
        </w:rPr>
        <w:t>[imię i nazwisko]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[adres do korespondencji]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[PESEL albo data urodzenia]</w:t>
      </w:r>
      <w:r>
        <w:br/>
      </w:r>
      <w:r>
        <w:rPr>
          <w:rFonts w:ascii="Liberation Sans" w:hAnsi="Liberation Sans" w:eastAsia="Liberation Sans"/>
          <w:b w:val="0"/>
          <w:color w:val="A62134"/>
        </w:rPr>
        <w:t>[telefon lub e-mail — opcjonalnie]</w:t>
      </w:r>
    </w:p>
    <w:p>
      <w:pPr>
        <w:pStyle w:val="Pismo–treść"/>
        <w:spacing w:line="252" w:lineRule="auto" w:before="40" w:after="100"/>
        <w:ind w:right="1984"/>
        <w:jc w:val="left"/>
      </w:pPr>
      <w:r>
        <w:rPr>
          <w:b/>
        </w:rPr>
        <w:t xml:space="preserve">Sygnatura akt: </w:t>
      </w:r>
      <w:r>
        <w:rPr>
          <w:rFonts w:ascii="Liberation Sans" w:hAnsi="Liberation Sans" w:eastAsia="Liberation Sans"/>
          <w:b w:val="0"/>
          <w:color w:val="A62134"/>
        </w:rPr>
        <w:t>[sygnatura wykonawcza i/lub sygnatura wyroku]</w:t>
      </w:r>
    </w:p>
    <w:p>
      <w:pPr>
        <w:pStyle w:val="Pismo–treść"/>
        <w:spacing w:line="252" w:lineRule="auto" w:before="40" w:after="120"/>
        <w:ind w:left="4082"/>
        <w:jc w:val="right"/>
      </w:pPr>
      <w:r>
        <w:rPr>
          <w:b/>
        </w:rPr>
        <w:t>Do:</w:t>
        <w:br/>
      </w:r>
      <w:r>
        <w:rPr>
          <w:rFonts w:ascii="Liberation Sans" w:hAnsi="Liberation Sans" w:eastAsia="Liberation Sans"/>
          <w:b w:val="0"/>
          <w:color w:val="A62134"/>
        </w:rPr>
        <w:t>[Sąd Okręgowy w [WYPEŁNIJ], Wydział Penitencjarny / sądowy kurator zawodowy [WYPEŁNIJ]]</w:t>
      </w:r>
    </w:p>
    <w:p>
      <w:pPr>
        <w:spacing w:before="80" w:after="80"/>
        <w:jc w:val="center"/>
      </w:pPr>
      <w:r>
        <w:rPr>
          <w:rFonts w:ascii="Liberation Sans" w:hAnsi="Liberation Sans" w:eastAsia="Liberation Sans"/>
          <w:b/>
          <w:color w:val="1F4B43"/>
          <w:sz w:val="31"/>
        </w:rPr>
        <w:t>WNIOSEK O ZMIANĘ WARUNKÓW WYKONYWANIA SDE</w:t>
      </w:r>
    </w:p>
    <w:p>
      <w:pPr>
        <w:pStyle w:val="Pismo–treść"/>
        <w:spacing w:line="276" w:lineRule="auto" w:after="120"/>
        <w:jc w:val="both"/>
      </w:pPr>
      <w:r>
        <w:rPr>
          <w:b/>
        </w:rPr>
        <w:t>Wnoszę o: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zmianę [WYPEŁNIJ: miejsca / przedziałów czasu / obowiązku] z [WYPEŁNIJ] na [WYPEŁNIJ];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przeprowadzenie sprawdzenia warunków technicznych pod nowym adresem — jeżeli dotyczy;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rozpoznanie przed dniem [WYPEŁNIJ], w którym ma wystąpić udokumentowana zmiana.</w:t>
      </w:r>
    </w:p>
    <w:p>
      <w:pPr>
        <w:pStyle w:val="Heading2"/>
      </w:pPr>
      <w:r>
        <w:t>Uzasadnienie</w:t>
      </w:r>
    </w:p>
    <w:p>
      <w:pPr>
        <w:pStyle w:val="Pismo–treść"/>
        <w:spacing w:line="276" w:lineRule="auto" w:after="120"/>
        <w:jc w:val="both"/>
      </w:pPr>
      <w:r>
        <w:t>SDE wykonuję od [WYPEŁNIJ] na podstawie postanowienia [WYPEŁNIJ].</w:t>
      </w:r>
    </w:p>
    <w:p>
      <w:pPr>
        <w:pStyle w:val="Pismo–treść"/>
        <w:spacing w:line="276" w:lineRule="auto" w:after="120"/>
        <w:jc w:val="both"/>
      </w:pPr>
      <w:r>
        <w:t>Zmiana jest potrzebna z powodu [WYPEŁNIJ: zdarzenie, data, dlaczego nie było przewidywalne].</w:t>
      </w:r>
    </w:p>
    <w:p>
      <w:pPr>
        <w:pStyle w:val="Pismo–treść"/>
        <w:spacing w:line="276" w:lineRule="auto" w:after="120"/>
        <w:jc w:val="both"/>
      </w:pPr>
      <w:r>
        <w:t>Dotychczasowego rozwiązania nie można utrzymać, ponieważ [WYPEŁNIJ]. Proponowana zmiana jest ograniczona do [WYPEŁNIJ] i nadal pozwala na kontrolę.</w:t>
      </w:r>
    </w:p>
    <w:p>
      <w:pPr>
        <w:pStyle w:val="Pismo–treść"/>
        <w:spacing w:line="276" w:lineRule="auto" w:after="120"/>
        <w:jc w:val="both"/>
      </w:pPr>
      <w:r>
        <w:rPr>
          <w:rFonts w:ascii="Liberation Sans" w:hAnsi="Liberation Sans" w:eastAsia="Liberation Sans"/>
          <w:b w:val="0"/>
          <w:color w:val="A62134"/>
        </w:rPr>
        <w:t>[Przy lokalu: opisz adres, mieszkańców, tytuł do lokalu i zgody. Przy godzinach: zestaw stary i nowy harmonogram.]</w:t>
      </w:r>
    </w:p>
    <w:p>
      <w:pPr>
        <w:pStyle w:val="Heading2"/>
      </w:pPr>
      <w:r>
        <w:t>Dowody i dokumenty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1.  </w:t>
      </w:r>
      <w:r>
        <w:t>postanowienie o SDE;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2.  </w:t>
      </w:r>
      <w:r>
        <w:t>dokument przyczyny zmiany;</w:t>
      </w:r>
    </w:p>
    <w:p>
      <w:pPr>
        <w:pStyle w:val="Pismo–treść"/>
        <w:spacing w:line="276" w:lineRule="auto" w:after="120"/>
        <w:ind w:left="454" w:hanging="454"/>
        <w:jc w:val="both"/>
      </w:pPr>
      <w:r>
        <w:rPr>
          <w:b/>
        </w:rPr>
        <w:t xml:space="preserve">3.  </w:t>
      </w:r>
      <w:r>
        <w:t>nowy harmonogram / zgody / dokumenty lokalu.</w:t>
      </w:r>
    </w:p>
    <w:p>
      <w:pPr>
        <w:pStyle w:val="Pismo–treść"/>
        <w:spacing w:before="80"/>
        <w:jc w:val="right"/>
      </w:pPr>
      <w:r>
        <w:rPr>
          <w:rFonts w:ascii="Liberation Sans" w:hAnsi="Liberation Sans" w:eastAsia="Liberation Sans"/>
          <w:b w:val="0"/>
          <w:color w:val="A62134"/>
        </w:rPr>
        <w:t>[czytelny podpis wnioskodawcy albo podpis pełnomocnika]</w:t>
      </w:r>
    </w:p>
    <w:p>
      <w:pPr>
        <w:pStyle w:val="Heading2"/>
        <w:keepNext/>
        <w:spacing w:before="80" w:after="60"/>
      </w:pPr>
      <w:r>
        <w:t>Załączniki</w:t>
      </w:r>
    </w:p>
    <w:p>
      <w:pPr>
        <w:pStyle w:val="Pismo–treść"/>
        <w:spacing w:line="276" w:lineRule="auto" w:after="40"/>
        <w:ind w:left="454" w:hanging="454"/>
        <w:jc w:val="both"/>
      </w:pPr>
      <w:r>
        <w:rPr>
          <w:b/>
        </w:rPr>
        <w:t xml:space="preserve">1.  </w:t>
      </w:r>
      <w:r>
        <w:t>dokumenty wymienione wyżej.</w:t>
      </w:r>
    </w:p>
    <w:sectPr w:rsidR="00FC693F" w:rsidRPr="0006063C" w:rsidSect="00034616">
      <w:headerReference w:type="default" r:id="rId11"/>
      <w:footerReference w:type="default" r:id="rId12"/>
      <w:pgSz w:w="11906" w:h="16838"/>
      <w:pgMar w:top="964" w:right="1361" w:bottom="737" w:left="136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6"/>
      </w:rPr>
      <w:t xml:space="preserve">Materiał ogólny · stan prawny zweryfikowany 28 października 2026 r. · nie zastępuje analizy konkretnej sprawy  |  </w:t>
    </w:r>
    <w:r>
      <w:fldChar w:fldCharType="begin"/>
      <w:instrText xml:space="preserve">PAGE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/>
        <w:color w:val="545E5D"/>
        <w:sz w:val="17"/>
      </w:rPr>
      <w:t xml:space="preserve">Usuń czerwone instrukcje przed złożeniem  |  </w:t>
    </w:r>
    <w: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8" w:space="5" w:color="1F4B43"/>
      </w:pBdr>
    </w:pPr>
    <w:r>
      <w:rPr>
        <w:rFonts w:ascii="Liberation Sans" w:hAnsi="Liberation Sans" w:eastAsia="Liberation Sans"/>
        <w:b/>
        <w:color w:val="1F4B43"/>
        <w:sz w:val="16"/>
      </w:rPr>
      <w:t>KANCELARIA ADWOKACKA  ·  ADW. ANNA MARCINKOWSKA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Liberation Sans" w:hAnsi="Liberation Sans" w:eastAsia="Liberation Sans"/>
        <w:b/>
        <w:color w:val="A62134"/>
        <w:sz w:val="17"/>
      </w:rPr>
      <w:t>WZÓR DO SAMODZIELNEGO UZUPEŁNIENIA · NIE SKŁADAJ PUSTEGO FORMULARZA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4" w:lineRule="auto"/>
    </w:pPr>
    <w:rPr>
      <w:rFonts w:ascii="Liberation Serif" w:hAnsi="Liberation Serif" w:eastAsia="Liberation Serif"/>
      <w:color w:val="1C232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7F2838"/>
      <w:sz w:val="29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/>
      <w:outlineLvl w:val="2"/>
    </w:pPr>
    <w:rPr>
      <w:rFonts w:asciiTheme="majorHAnsi" w:eastAsiaTheme="majorEastAsia" w:hAnsiTheme="majorHAnsi" w:cstheme="majorBidi" w:ascii="Liberation Sans" w:hAnsi="Liberation Sans" w:eastAsia="Liberation Sans"/>
      <w:b/>
      <w:bCs/>
      <w:color w:val="1F4B43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pBdr>
        <w:bottom w:val="single" w:sz="8" w:space="4" w:color="4F81BD" w:themeColor="accent1"/>
      </w:pBdr>
      <w:spacing w:after="300" w:line="240" w:lineRule="auto" w:before="0"/>
      <w:contextualSpacing/>
    </w:pPr>
    <w:rPr>
      <w:rFonts w:asciiTheme="majorHAnsi" w:eastAsiaTheme="majorEastAsia" w:hAnsiTheme="majorHAnsi" w:cstheme="majorBidi" w:ascii="Liberation Sans" w:hAnsi="Liberation Sans" w:eastAsia="Liberation Sans"/>
      <w:b/>
      <w:color w:val="1F4B43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Instrukcja–punkt">
    <w:name w:val="Instrukcja – punkt"/>
    <w:basedOn w:val="Normal"/>
    <w:pPr>
      <w:spacing w:after="80"/>
      <w:ind w:left="283" w:hanging="283"/>
    </w:pPr>
  </w:style>
  <w:style w:type="paragraph" w:customStyle="1" w:styleId="Pismo–treść">
    <w:name w:val="Pismo – treść"/>
    <w:basedOn w:val="Normal"/>
    <w:pPr>
      <w:spacing w:line="283" w:lineRule="auto" w:after="160"/>
    </w:pPr>
    <w:rPr>
      <w:sz w:val="24"/>
    </w:rPr>
  </w:style>
  <w:style w:type="paragraph" w:customStyle="1" w:styleId="Pismo–małe">
    <w:name w:val="Pismo – małe"/>
    <w:basedOn w:val="Normal"/>
    <w:rPr>
      <w:color w:val="545E5D"/>
      <w:sz w:val="22"/>
    </w:rPr>
  </w:style>
  <w:style w:type="paragraph" w:customStyle="1" w:styleId="Etykieta">
    <w:name w:val="Etykieta"/>
    <w:basedOn w:val="Normal"/>
    <w:pPr>
      <w:spacing w:after="60"/>
    </w:pPr>
    <w:rPr>
      <w:rFonts w:ascii="Liberation Sans" w:hAnsi="Liberation Sans" w:eastAsia="Liberation Sans"/>
      <w:b/>
      <w:color w:val="1F4B43"/>
      <w:sz w:val="19"/>
    </w:rPr>
  </w:style>
  <w:style w:type="paragraph" w:customStyle="1" w:styleId="Blok–odstęp">
    <w:name w:val="Blok – odstęp"/>
    <w:basedOn w:val="Normal"/>
    <w:pPr>
      <w:spacing w:lineRule="exact" w:line="20" w:before="170" w:after="17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Zmiana miejsca, harmonogramu albo obowiązków w SDE</dc:title>
  <dc:subject>Wzór pisma w postępowaniu wykonawczym z instrukcją</dc:subject>
  <dc:creator>Kancelaria Adwokacka adw. Anna Marcinkowska</dc:creator>
  <cp:keywords>postępowanie wykonawcze, KKW, wzór pisma, instrukcja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