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13</w:t>
      </w:r>
    </w:p>
    <w:p>
      <w:pPr>
        <w:pStyle w:val="Title"/>
      </w:pPr>
      <w:r>
        <w:t>Wniosek o rozstrzygnięcie wątpliwości lub zarzutów co do obliczenia kary</w:t>
      </w:r>
    </w:p>
    <w:p>
      <w:pPr>
        <w:pStyle w:val="Pismo–treść"/>
        <w:spacing w:after="260"/>
      </w:pPr>
      <w:r>
        <w:rPr>
          <w:color w:val="545E5D"/>
        </w:rPr>
        <w:t>Tryb z art. 13 KKW służy wyjaśnieniu sposobu wykonania orzeczenia albo obliczenia kary. Nie służy do zmiany prawomocnego wyroku.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sąd, który wydał orzeczenie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13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bez ustawowego terminu, ale niezwłocznie po ujawnieniu wątpliwości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wykładnię wykonawczą / rozstrzygnięcie zarzutów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13 § 1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„Organ wykonujący orzeczenie oraz każdy, kogo orzeczenie bezpośrednio dotyczy, może zwrócić się do sądu, który je wydał, o rozstrzygnięcie wątpliwości co do wykonania orzeczenia lub zarzutów co do obliczenia kary.”</w:t>
            </w:r>
          </w:p>
        </w:tc>
      </w:tr>
    </w:tbl>
    <w:p>
      <w:pPr>
        <w:pStyle w:val="Blok–odstęp"/>
      </w:pPr>
    </w:p>
    <w:p>
      <w:r>
        <w:t>Właściwy jest sąd, który wydał orzeczenie objęte wątpliwością. Przepis pozwala wyjaśnić wykonanie i obliczenie, ale nie otwiera ponownie sprawy co do winy lub wymiaru kary.</w:t>
      </w:r>
    </w:p>
    <w:p>
      <w:r>
        <w:t>Na postanowienie wydane w tym trybie przysługuje zażalenie.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treść orzeczenia pozostawia rzeczywistą wątpliwość co do sposobu wykonania;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występuje możliwy błąd w obliczeniu początku, końca, zaliczeń lub okresów wykonywanej kary.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porównaj sentencję wszystkich orzeczeń, daty prawomocności, kartę karną i urzędowe obliczenie kary;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sporządź własną tabelę okresów z dokumentami źródłowymi, ale nie zmieniaj jednostek ani zasad zaliczenia według intuicji.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orzeczenie lub orzeczenia objęte wątpliwością;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obliczenie kary z jednostki penitencjarnej lub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zatrzymania, tymczasowego aresztowania, SDE, przerw albo innych okresów mogących podlegać zaliczeniu;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prosta tabela dat i żądanego sposobu obliczenia.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art. 13 KKW nie jest środkiem do poprawiania ustaleń faktycznych ani kary wymierzonej prawomocnym wyrokiem;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problem wynika z oczywistej omyłki pisarskiej albo rachunkowej w orzeczeniu, może być potrzebny inny tryb.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sądu, który wydał orzeczenie]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W TRYBIE ART. 13 § 1 KKW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rozstrzygnięcie wątpliwości co do wykonania orzeczenia / zarzutów co do obliczenia kary poprzez ustalenie, że [WYPEŁNIJ: precyzyjny oczekiwany sposób];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zwrócenie się do [WYPEŁNIJ: jednostka / sąd] o dokumentację źródłową, jeżeli nie znajduje się w aktach;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doręczenie odpisu postanowienia.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Wątpliwość dotyczy orzeczenia [WYPEŁNIJ: sąd, data, sygnatura] oraz urzędowego obliczenia z dnia [WYPEŁNIJ].</w:t>
      </w:r>
    </w:p>
    <w:p>
      <w:pPr>
        <w:pStyle w:val="Pismo–treść"/>
        <w:spacing w:line="276" w:lineRule="auto" w:after="120"/>
        <w:jc w:val="both"/>
      </w:pPr>
      <w:r>
        <w:t>Według otrzymanej informacji [WYPEŁNIJ: opisz obecny sposób wykonania lub datę].</w:t>
      </w:r>
    </w:p>
    <w:p>
      <w:pPr>
        <w:pStyle w:val="Pismo–treść"/>
        <w:spacing w:line="276" w:lineRule="auto" w:after="120"/>
        <w:jc w:val="both"/>
      </w:pPr>
      <w:r>
        <w:t>Zarzut polega na tym, że nie uwzględniono / uwzględniono [WYPEŁNIJ: konkretny okres albo element]. Dokument [WYPEŁNIJ] wskazuje, że okres trwał od [WYPEŁNIJ] do [WYPEŁNIJ].</w:t>
      </w:r>
    </w:p>
    <w:p>
      <w:pPr>
        <w:pStyle w:val="Pismo–treść"/>
        <w:spacing w:line="276" w:lineRule="auto" w:after="120"/>
        <w:jc w:val="both"/>
      </w:pPr>
      <w:r>
        <w:t>Nie domagam się zmiany prawomocnego rozstrzygnięcia, lecz wyjaśnienia jego wykonania / prawidłowego zaliczenia udokumentowanego okresu.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orzeczenie / odpis orzeczenia;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obliczenie kary;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dokumenty źródłowe dotyczące wskazanego okresu.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tabela okresów;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kopie dokumentów wymienionych w uzasadnieniu.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rozstrzygnięcie wątpliwości lub zarzutów co do obliczenia kary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