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tykieta"/>
      </w:pPr>
      <w:r>
        <w:t>POSTĘPOWANIE WYKONAWCZE  ·  WZÓR 05</w:t>
      </w:r>
    </w:p>
    <w:p>
      <w:pPr>
        <w:pStyle w:val="Title"/>
      </w:pPr>
      <w:r>
        <w:t>Wniosek o przerwę w wykonaniu kary pozbawienia wolności</w:t>
      </w:r>
    </w:p>
    <w:p>
      <w:pPr>
        <w:pStyle w:val="Pismo–treść"/>
        <w:spacing w:after="260"/>
      </w:pPr>
      <w:r>
        <w:rPr>
          <w:color w:val="545E5D"/>
        </w:rPr>
        <w:t>Przerwa dotyczy osoby, która już odbywa karę. Trzeba wykazać ciężką chorobę albo ważne względy rodzinne lub osobiste.</w:t>
      </w:r>
    </w:p>
    <w:p>
      <w:pPr>
        <w:pStyle w:val="Blok–odstęp"/>
      </w:pPr>
    </w:p>
    <w:tbl>
      <w:tblPr>
        <w:tblW w:type="auto" w:w="0"/>
        <w:jc w:val="center"/>
        <w:tblLook w:firstColumn="1" w:firstRow="1" w:lastColumn="0" w:lastRow="0" w:noHBand="0" w:noVBand="1" w:val="04A0"/>
      </w:tblPr>
      <w:tblGrid>
        <w:gridCol w:w="9412"/>
      </w:tblGrid>
      <w:tr>
        <w:trPr>
          <w:cantSplit/>
        </w:trPr>
        <w:tc>
          <w:tcPr>
            <w:tcW w:type="dxa" w:w="9412"/>
            <w:shd w:fill="F3EEE9"/>
            <w:tcMar>
              <w:top w:w="220" w:type="dxa"/>
              <w:start w:w="200" w:type="dxa"/>
              <w:bottom w:w="220" w:type="dxa"/>
              <w:end w:w="200" w:type="dxa"/>
            </w:tcMar>
          </w:tcPr>
          <w:p>
            <w:pPr>
              <w:spacing w:after="60"/>
            </w:pPr>
            <w:r>
              <w:rPr>
                <w:rFonts w:ascii="Liberation Sans" w:hAnsi="Liberation Sans" w:eastAsia="Liberation Sans"/>
                <w:b/>
                <w:color w:val="7F2838"/>
                <w:sz w:val="19"/>
              </w:rPr>
              <w:t>STOP — TO NIE JEST GOTOWE PISMO</w:t>
            </w:r>
          </w:p>
          <w:p>
            <w:pPr>
              <w:spacing w:after="0" w:line="283" w:lineRule="auto"/>
            </w:pPr>
            <w:r>
              <w:t>Nie drukuj i nie składaj pustego wzoru. Każde czerwone pole w nawiasie trzeba uzupełnić albo usunąć. Jeżeli po przygotowaniu pisma pozostał choć jeden czerwony nawias, dokument nie jest gotowy. Pusty formularz nie przedstawia żądania ani faktów i może nie wywołać oczekiwanego skutku procesowego.</w:t>
            </w:r>
          </w:p>
        </w:tc>
      </w:tr>
    </w:tbl>
    <w:p>
      <w:pPr>
        <w:pStyle w:val="Blok–odstęp"/>
      </w:pPr>
    </w:p>
    <w:tbl>
      <w:tblPr>
        <w:tblW w:type="auto" w:w="0"/>
        <w:jc w:val="center"/>
        <w:tblLayout w:type="fixed"/>
        <w:tblLook w:firstColumn="1" w:firstRow="1" w:lastColumn="0" w:lastRow="0" w:noHBand="0" w:noVBand="1" w:val="04A0"/>
      </w:tblPr>
      <w:tblGrid>
        <w:gridCol w:w="2268"/>
        <w:gridCol w:w="6917"/>
      </w:tblGrid>
      <w:tr>
        <w:trPr>
          <w:cantSplit/>
        </w:trPr>
        <w:tc>
          <w:tcPr>
            <w:tcW w:type="dxa" w:w="2268"/>
            <w:vAlign w:val="center"/>
            <w:shd w:fill="EAF2EF"/>
            <w:tcMar>
              <w:top w:w="120" w:type="dxa"/>
              <w:start w:w="140" w:type="dxa"/>
              <w:bottom w:w="120" w:type="dxa"/>
              <w:end w:w="140" w:type="dxa"/>
            </w:tcMar>
          </w:tcPr>
          <w:p>
            <w:pPr>
              <w:spacing w:after="0"/>
            </w:pPr>
            <w:r>
              <w:rPr>
                <w:rFonts w:ascii="Liberation Sans" w:hAnsi="Liberation Sans" w:eastAsia="Liberation Sans"/>
                <w:b/>
                <w:color w:val="1F4B43"/>
                <w:sz w:val="19"/>
              </w:rPr>
              <w:t>ADRESAT</w:t>
            </w:r>
          </w:p>
        </w:tc>
        <w:tc>
          <w:tcPr>
            <w:tcW w:type="dxa" w:w="6917"/>
            <w:vAlign w:val="center"/>
            <w:tcMar>
              <w:top w:w="120" w:type="dxa"/>
              <w:start w:w="140" w:type="dxa"/>
              <w:bottom w:w="120" w:type="dxa"/>
              <w:end w:w="140" w:type="dxa"/>
            </w:tcMar>
          </w:tcPr>
          <w:p>
            <w:pPr>
              <w:spacing w:after="0"/>
            </w:pPr>
            <w:r>
              <w:rPr>
                <w:sz w:val="23"/>
              </w:rPr>
              <w:t>sąd penitencjarny właściwy dla zakładu karnego</w:t>
            </w:r>
          </w:p>
        </w:tc>
      </w:tr>
      <w:tr>
        <w:trPr>
          <w:cantSplit/>
        </w:trPr>
        <w:tc>
          <w:tcPr>
            <w:tcW w:type="dxa" w:w="2268"/>
            <w:vAlign w:val="center"/>
            <w:shd w:fill="EAF2EF"/>
            <w:tcMar>
              <w:top w:w="120" w:type="dxa"/>
              <w:start w:w="140" w:type="dxa"/>
              <w:bottom w:w="120" w:type="dxa"/>
              <w:end w:w="140" w:type="dxa"/>
            </w:tcMar>
          </w:tcPr>
          <w:p>
            <w:pPr>
              <w:spacing w:after="0"/>
            </w:pPr>
            <w:r>
              <w:rPr>
                <w:rFonts w:ascii="Liberation Sans" w:hAnsi="Liberation Sans" w:eastAsia="Liberation Sans"/>
                <w:b/>
                <w:color w:val="1F4B43"/>
                <w:sz w:val="19"/>
              </w:rPr>
              <w:t>PODSTAWA</w:t>
            </w:r>
          </w:p>
        </w:tc>
        <w:tc>
          <w:tcPr>
            <w:tcW w:type="dxa" w:w="6917"/>
            <w:vAlign w:val="center"/>
            <w:tcMar>
              <w:top w:w="120" w:type="dxa"/>
              <w:start w:w="140" w:type="dxa"/>
              <w:bottom w:w="120" w:type="dxa"/>
              <w:end w:w="140" w:type="dxa"/>
            </w:tcMar>
          </w:tcPr>
          <w:p>
            <w:pPr>
              <w:spacing w:after="0"/>
            </w:pPr>
            <w:r>
              <w:rPr>
                <w:sz w:val="23"/>
              </w:rPr>
              <w:t>art. 153 Kodeksu karnego wykonawczego</w:t>
            </w:r>
          </w:p>
        </w:tc>
      </w:tr>
      <w:tr>
        <w:trPr>
          <w:cantSplit/>
        </w:trPr>
        <w:tc>
          <w:tcPr>
            <w:tcW w:type="dxa" w:w="2268"/>
            <w:vAlign w:val="center"/>
            <w:shd w:fill="EAF2EF"/>
            <w:tcMar>
              <w:top w:w="120" w:type="dxa"/>
              <w:start w:w="140" w:type="dxa"/>
              <w:bottom w:w="120" w:type="dxa"/>
              <w:end w:w="140" w:type="dxa"/>
            </w:tcMar>
          </w:tcPr>
          <w:p>
            <w:pPr>
              <w:spacing w:after="0"/>
            </w:pPr>
            <w:r>
              <w:rPr>
                <w:rFonts w:ascii="Liberation Sans" w:hAnsi="Liberation Sans" w:eastAsia="Liberation Sans"/>
                <w:b/>
                <w:color w:val="1F4B43"/>
                <w:sz w:val="19"/>
              </w:rPr>
              <w:t>TERMIN</w:t>
            </w:r>
          </w:p>
        </w:tc>
        <w:tc>
          <w:tcPr>
            <w:tcW w:type="dxa" w:w="6917"/>
            <w:vAlign w:val="center"/>
            <w:tcMar>
              <w:top w:w="120" w:type="dxa"/>
              <w:start w:w="140" w:type="dxa"/>
              <w:bottom w:w="120" w:type="dxa"/>
              <w:end w:w="140" w:type="dxa"/>
            </w:tcMar>
          </w:tcPr>
          <w:p>
            <w:pPr>
              <w:spacing w:after="0"/>
            </w:pPr>
            <w:r>
              <w:rPr>
                <w:sz w:val="23"/>
              </w:rPr>
              <w:t>w czasie wykonywania kary; dokumenty powinny być aktualne</w:t>
            </w:r>
          </w:p>
        </w:tc>
      </w:tr>
      <w:tr>
        <w:trPr>
          <w:cantSplit/>
        </w:trPr>
        <w:tc>
          <w:tcPr>
            <w:tcW w:type="dxa" w:w="2268"/>
            <w:vAlign w:val="center"/>
            <w:shd w:fill="EAF2EF"/>
            <w:tcMar>
              <w:top w:w="120" w:type="dxa"/>
              <w:start w:w="140" w:type="dxa"/>
              <w:bottom w:w="120" w:type="dxa"/>
              <w:end w:w="140" w:type="dxa"/>
            </w:tcMar>
          </w:tcPr>
          <w:p>
            <w:pPr>
              <w:spacing w:after="0"/>
            </w:pPr>
            <w:r>
              <w:rPr>
                <w:rFonts w:ascii="Liberation Sans" w:hAnsi="Liberation Sans" w:eastAsia="Liberation Sans"/>
                <w:b/>
                <w:color w:val="1F4B43"/>
                <w:sz w:val="19"/>
              </w:rPr>
              <w:t>OPŁATA</w:t>
            </w:r>
          </w:p>
        </w:tc>
        <w:tc>
          <w:tcPr>
            <w:tcW w:type="dxa" w:w="6917"/>
            <w:vAlign w:val="center"/>
            <w:tcMar>
              <w:top w:w="120" w:type="dxa"/>
              <w:start w:w="140" w:type="dxa"/>
              <w:bottom w:w="120" w:type="dxa"/>
              <w:end w:w="140" w:type="dxa"/>
            </w:tcMar>
          </w:tcPr>
          <w:p>
            <w:pPr>
              <w:spacing w:after="0"/>
            </w:pPr>
            <w:r>
              <w:rPr>
                <w:sz w:val="23"/>
              </w:rPr>
              <w:t>60 zł</w:t>
            </w:r>
          </w:p>
        </w:tc>
      </w:tr>
      <w:tr>
        <w:trPr>
          <w:cantSplit/>
        </w:trPr>
        <w:tc>
          <w:tcPr>
            <w:tcW w:type="dxa" w:w="2268"/>
            <w:vAlign w:val="center"/>
            <w:shd w:fill="EAF2EF"/>
            <w:tcMar>
              <w:top w:w="120" w:type="dxa"/>
              <w:start w:w="140" w:type="dxa"/>
              <w:bottom w:w="120" w:type="dxa"/>
              <w:end w:w="140" w:type="dxa"/>
            </w:tcMar>
          </w:tcPr>
          <w:p>
            <w:pPr>
              <w:spacing w:after="0"/>
            </w:pPr>
            <w:r>
              <w:rPr>
                <w:rFonts w:ascii="Liberation Sans" w:hAnsi="Liberation Sans" w:eastAsia="Liberation Sans"/>
                <w:b/>
                <w:color w:val="1F4B43"/>
                <w:sz w:val="19"/>
              </w:rPr>
              <w:t>TRYB</w:t>
            </w:r>
          </w:p>
        </w:tc>
        <w:tc>
          <w:tcPr>
            <w:tcW w:type="dxa" w:w="6917"/>
            <w:vAlign w:val="center"/>
            <w:tcMar>
              <w:top w:w="120" w:type="dxa"/>
              <w:start w:w="140" w:type="dxa"/>
              <w:bottom w:w="120" w:type="dxa"/>
              <w:end w:w="140" w:type="dxa"/>
            </w:tcMar>
          </w:tcPr>
          <w:p>
            <w:pPr>
              <w:spacing w:after="0"/>
            </w:pPr>
            <w:r>
              <w:rPr>
                <w:sz w:val="23"/>
              </w:rPr>
              <w:t>wniosek rozpoznawany przez sąd penitencjarny</w:t>
            </w:r>
          </w:p>
        </w:tc>
      </w:tr>
    </w:tbl>
    <w:p>
      <w:pPr>
        <w:pStyle w:val="Blok–odstęp"/>
      </w:pPr>
    </w:p>
    <w:p>
      <w:pPr>
        <w:pStyle w:val="Heading1"/>
      </w:pPr>
      <w:r>
        <w:t>Co wynika z przepisu</w:t>
      </w:r>
    </w:p>
    <w:p>
      <w:pPr>
        <w:pStyle w:val="Blok–odstęp"/>
      </w:pPr>
    </w:p>
    <w:tbl>
      <w:tblPr>
        <w:tblW w:type="auto" w:w="0"/>
        <w:jc w:val="center"/>
        <w:tblLook w:firstColumn="1" w:firstRow="1" w:lastColumn="0" w:lastRow="0" w:noHBand="0" w:noVBand="1" w:val="04A0"/>
      </w:tblPr>
      <w:tblGrid>
        <w:gridCol w:w="9412"/>
      </w:tblGrid>
      <w:tr>
        <w:trPr>
          <w:cantSplit/>
        </w:trPr>
        <w:tc>
          <w:tcPr>
            <w:tcW w:type="dxa" w:w="9412"/>
            <w:shd w:fill="EAF2EF"/>
            <w:tcMar>
              <w:top w:w="220" w:type="dxa"/>
              <w:start w:w="200" w:type="dxa"/>
              <w:bottom w:w="220" w:type="dxa"/>
              <w:end w:w="200" w:type="dxa"/>
            </w:tcMar>
          </w:tcPr>
          <w:p>
            <w:pPr>
              <w:spacing w:after="60"/>
            </w:pPr>
            <w:r>
              <w:rPr>
                <w:rFonts w:ascii="Liberation Sans" w:hAnsi="Liberation Sans" w:eastAsia="Liberation Sans"/>
                <w:b/>
                <w:color w:val="1F4B43"/>
                <w:sz w:val="19"/>
              </w:rPr>
              <w:t>ART. 153 § 1–2 KKW; KODEKS KARNY WYKONAWCZY, TEKST JEDNOLITY: DZ.U. Z 2026 R. POZ. 1307 — KLUCZOWY FRAGMENT</w:t>
            </w:r>
          </w:p>
          <w:p>
            <w:pPr>
              <w:spacing w:after="0" w:line="283" w:lineRule="auto"/>
            </w:pPr>
            <w:r>
              <w:t>„Sąd penitencjarny udziela przerwy [...] w wypadku określonym w art. 150 § 1 [...]. Sąd penitencjarny może udzielić przerwy [...], jeżeli przemawiają za tym ważne względy rodzinne lub osobiste.”</w:t>
            </w:r>
          </w:p>
        </w:tc>
      </w:tr>
    </w:tbl>
    <w:p>
      <w:pPr>
        <w:pStyle w:val="Blok–odstęp"/>
      </w:pPr>
    </w:p>
    <w:p>
      <w:r>
        <w:t>Przerwa dotyczy kary już wykonywanej. Przy ciężkiej chorobie podstawa ma charakter obowiązkowy, a przy względach rodzinnych lub osobistych — uznaniowy.</w:t>
      </w:r>
    </w:p>
    <w:p>
      <w:r>
        <w:t>Opłata 60 zł wynika z art. 15 ust. 1 pkt 2 ustawy o opłatach w sprawach karnych.</w:t>
      </w:r>
    </w:p>
    <w:p>
      <w:pPr>
        <w:pStyle w:val="Heading1"/>
      </w:pPr>
      <w:r>
        <w:t>Skąd wziąć sygnaturę i dane organu</w:t>
      </w:r>
    </w:p>
    <w:p>
      <w:pPr>
        <w:pStyle w:val="Instrukcja–punkt"/>
      </w:pPr>
      <w:r>
        <w:rPr>
          <w:b/>
          <w:color w:val="7F2838"/>
        </w:rPr>
        <w:t xml:space="preserve">•  </w:t>
      </w:r>
      <w:r>
        <w:t>Sygnaturę sądową przepisz z pierwszej strony wyroku, postanowienia, wezwania albo zawiadomienia. Nie przepisuj przypadkowego numeru z koperty, potwierdzenia nadania ani numeru rachunku.</w:t>
      </w:r>
    </w:p>
    <w:p>
      <w:pPr>
        <w:pStyle w:val="Instrukcja–punkt"/>
      </w:pPr>
      <w:r>
        <w:rPr>
          <w:b/>
          <w:color w:val="7F2838"/>
        </w:rPr>
        <w:t xml:space="preserve">•  </w:t>
      </w:r>
      <w:r>
        <w:t>W jednej sprawie mogą występować różne sygnatury: sygnatura wyroku oraz późniejsza sygnatura wykonawcza. Wpisz obie, jeżeli je znasz. Sygnatury wykonawczej nie wymyślaj na podstawie skrótu wydziału.</w:t>
      </w:r>
    </w:p>
    <w:p>
      <w:pPr>
        <w:pStyle w:val="Instrukcja–punkt"/>
      </w:pPr>
      <w:r>
        <w:rPr>
          <w:b/>
          <w:color w:val="7F2838"/>
        </w:rPr>
        <w:t xml:space="preserve">•  </w:t>
      </w:r>
      <w:r>
        <w:t>Jeżeli nie znasz sygnatury wykonawczej, skontaktuj się z Biurem Obsługi Interesanta albo sekretariatem wydziału karnego sądu, który wydał wyrok w pierwszej instancji. Podaj imię i nazwisko, PESEL, datę wyroku i jego sygnaturę; poproś o potwierdzenie, który wydział prowadzi wykonanie i pod jaką sygnaturą.</w:t>
      </w:r>
    </w:p>
    <w:p>
      <w:pPr>
        <w:pStyle w:val="Instrukcja–punkt"/>
      </w:pPr>
      <w:r>
        <w:rPr>
          <w:b/>
          <w:color w:val="7F2838"/>
        </w:rPr>
        <w:t xml:space="preserve">•  </w:t>
      </w:r>
      <w:r>
        <w:t>W sprawach należących do sądu penitencjarnego ustal sąd według miejsca osadzenia albo innego łącznika wskazanego w instrukcji. Nazwę jednostki penitencjarnej znajdziesz na korespondencji z zakładu karnego; właściwość potwierdzi sekretariat wydziału penitencjarnego sądu okręgowego.</w:t>
      </w:r>
    </w:p>
    <w:p>
      <w:pPr>
        <w:pStyle w:val="Instrukcja–punkt"/>
      </w:pPr>
      <w:r>
        <w:rPr>
          <w:b/>
          <w:color w:val="7F2838"/>
        </w:rPr>
        <w:t xml:space="preserve">•  </w:t>
      </w:r>
      <w:r>
        <w:t>Sygnatura prokuratorska znajduje się na postanowieniu, wezwaniu lub piśmie prokuratury, zwykle obok oznaczenia jednostki. Gdy jej nie znasz, skontaktuj się z sekretariatem właściwej prokuratury i podaj dane pozwalające odszukać sprawę. Informacja może wymagać potwierdzenia tożsamości i uprawnienia do akt.</w:t>
      </w:r>
    </w:p>
    <w:p>
      <w:pPr>
        <w:pStyle w:val="Instrukcja–punkt"/>
      </w:pPr>
      <w:r>
        <w:rPr>
          <w:b/>
          <w:color w:val="7F2838"/>
        </w:rPr>
        <w:t xml:space="preserve">•  </w:t>
      </w:r>
      <w:r>
        <w:t>Imię i nazwisko konkretnego prokuratora zwykle nie jest potrzebne w piśmie do sądu. Jeżeli pismo ma trafić do prokuratury, oznacz jednostkę i sygnaturę; nazwisko wpisz tylko wtedy, gdy wynika z aktualnej korespondencji i ma znaczenie organizacyjne.</w:t>
      </w:r>
    </w:p>
    <w:p>
      <w:pPr>
        <w:pStyle w:val="Blok–odstęp"/>
      </w:pPr>
    </w:p>
    <w:tbl>
      <w:tblPr>
        <w:tblW w:type="auto" w:w="0"/>
        <w:jc w:val="center"/>
        <w:tblLook w:firstColumn="1" w:firstRow="1" w:lastColumn="0" w:lastRow="0" w:noHBand="0" w:noVBand="1" w:val="04A0"/>
      </w:tblPr>
      <w:tblGrid>
        <w:gridCol w:w="9412"/>
      </w:tblGrid>
      <w:tr>
        <w:trPr>
          <w:cantSplit/>
        </w:trPr>
        <w:tc>
          <w:tcPr>
            <w:tcW w:type="dxa" w:w="9412"/>
            <w:shd w:fill="EAF2EF"/>
            <w:tcMar>
              <w:top w:w="220" w:type="dxa"/>
              <w:start w:w="200" w:type="dxa"/>
              <w:bottom w:w="220" w:type="dxa"/>
              <w:end w:w="200" w:type="dxa"/>
            </w:tcMar>
          </w:tcPr>
          <w:p>
            <w:pPr>
              <w:spacing w:after="60"/>
            </w:pPr>
            <w:r>
              <w:rPr>
                <w:rFonts w:ascii="Liberation Sans" w:hAnsi="Liberation Sans" w:eastAsia="Liberation Sans"/>
                <w:b/>
                <w:color w:val="1F4B43"/>
                <w:sz w:val="19"/>
              </w:rPr>
              <w:t>NAJPROSTSZA ZASADA</w:t>
            </w:r>
          </w:p>
          <w:p>
            <w:pPr>
              <w:spacing w:after="0" w:line="283" w:lineRule="auto"/>
            </w:pPr>
            <w:r>
              <w:t>Nie zgaduj adresata. Najpierw przeczytaj nagłówek i pouczenie ostatniego pisma w sprawie. Jeżeli nadal są wątpliwości, ustal w sekretariacie, gdzie znajdują się akta i jaki organ jest właściwy dla konkretnego wniosku. Sekretariat może potwierdzić dane organizacyjne, ale nie zastąpi porady prawnej.</w:t>
            </w:r>
          </w:p>
        </w:tc>
      </w:tr>
    </w:tbl>
    <w:p>
      <w:pPr>
        <w:pStyle w:val="Blok–odstęp"/>
      </w:pPr>
    </w:p>
    <w:p>
      <w:pPr>
        <w:pStyle w:val="Heading1"/>
      </w:pPr>
      <w:r>
        <w:t>Termin, podpis i sposób złożenia</w:t>
      </w:r>
    </w:p>
    <w:p>
      <w:pPr>
        <w:pStyle w:val="Instrukcja–punkt"/>
      </w:pPr>
      <w:r>
        <w:rPr>
          <w:b/>
          <w:color w:val="7F2838"/>
        </w:rPr>
        <w:t xml:space="preserve">•  </w:t>
      </w:r>
      <w:r>
        <w:t>Termin licz od zdarzenia wskazanego w pouczeniu i przepisie. Zanotuj, kiedy pismo ogłoszono, doręczono albo odebrano. Nie licz terminu wyłącznie od daty widniejącej na orzeczeniu.</w:t>
      </w:r>
    </w:p>
    <w:p>
      <w:pPr>
        <w:pStyle w:val="Instrukcja–punkt"/>
      </w:pPr>
      <w:r>
        <w:rPr>
          <w:b/>
          <w:color w:val="7F2838"/>
        </w:rPr>
        <w:t xml:space="preserve">•  </w:t>
      </w:r>
      <w:r>
        <w:t>Jeżeli ostatni dzień przypada na sobotę albo dzień ustawowo wolny od pracy, reguły obliczania terminu wymagają osobnego sprawdzenia. Przy jakiejkolwiek wątpliwości złóż pismo wcześniej.</w:t>
      </w:r>
    </w:p>
    <w:p>
      <w:pPr>
        <w:pStyle w:val="Instrukcja–punkt"/>
      </w:pPr>
      <w:r>
        <w:rPr>
          <w:b/>
          <w:color w:val="7F2838"/>
        </w:rPr>
        <w:t xml:space="preserve">•  </w:t>
      </w:r>
      <w:r>
        <w:t>Pismo można złożyć osobiście w biurze podawczym — na kopii poproś o datownik — albo wysłać w sposób, który zachowuje termin i daje dowód nadania. Nie zakładaj, że zwykły e-mail, formularz kontaktowy lub dowolny kurier jest skutecznym sposobem wniesienia pisma procesowego.</w:t>
      </w:r>
    </w:p>
    <w:p>
      <w:pPr>
        <w:pStyle w:val="Instrukcja–punkt"/>
      </w:pPr>
      <w:r>
        <w:rPr>
          <w:b/>
          <w:color w:val="7F2838"/>
        </w:rPr>
        <w:t xml:space="preserve">•  </w:t>
      </w:r>
      <w:r>
        <w:t>Osoba pozbawiona wolności składa pismo administracji jednostki zgodnie z obowiązującą procedurą i powinna zachować potwierdzenie przekazania.</w:t>
      </w:r>
    </w:p>
    <w:p>
      <w:pPr>
        <w:pStyle w:val="Instrukcja–punkt"/>
      </w:pPr>
      <w:r>
        <w:rPr>
          <w:b/>
          <w:color w:val="7F2838"/>
        </w:rPr>
        <w:t xml:space="preserve">•  </w:t>
      </w:r>
      <w:r>
        <w:t>Na końcu złóż własnoręczny podpis. Jeżeli podpisuje obrońca albo pełnomocnik, oznaczenie i dokument umocowania muszą odpowiadać charakterowi sprawy.</w:t>
      </w:r>
    </w:p>
    <w:p>
      <w:pPr>
        <w:pStyle w:val="Heading1"/>
      </w:pPr>
      <w:r>
        <w:t>Kiedy ten wzór może być użyteczny</w:t>
      </w:r>
    </w:p>
    <w:p>
      <w:pPr>
        <w:pStyle w:val="Instrukcja–punkt"/>
      </w:pPr>
      <w:r>
        <w:rPr>
          <w:b/>
          <w:color w:val="7F2838"/>
        </w:rPr>
        <w:t xml:space="preserve">•  </w:t>
      </w:r>
      <w:r>
        <w:t>skazany już odbywa karę, a ciężka choroba uniemożliwia jej wykonywanie;</w:t>
      </w:r>
    </w:p>
    <w:p>
      <w:pPr>
        <w:pStyle w:val="Instrukcja–punkt"/>
      </w:pPr>
      <w:r>
        <w:rPr>
          <w:b/>
          <w:color w:val="7F2838"/>
        </w:rPr>
        <w:t xml:space="preserve">•  </w:t>
      </w:r>
      <w:r>
        <w:t>istnieją ważne, wyjątkowo doniosłe względy rodzinne lub osobiste, które wymagają osobistej obecności skazanego i nie mogą zostać rozwiązane inaczej.</w:t>
      </w:r>
    </w:p>
    <w:p>
      <w:pPr>
        <w:pStyle w:val="Heading1"/>
      </w:pPr>
      <w:r>
        <w:t>Co trzeba ustalić przed wypełnieniem</w:t>
      </w:r>
    </w:p>
    <w:p>
      <w:pPr>
        <w:pStyle w:val="Instrukcja–punkt"/>
      </w:pPr>
      <w:r>
        <w:rPr>
          <w:b/>
          <w:color w:val="7F2838"/>
        </w:rPr>
        <w:t xml:space="preserve">•  </w:t>
      </w:r>
      <w:r>
        <w:t>sprawdź sygnaturę wyroku i sygnaturę postępowania wykonawczego; nie zakładaj, że są identyczne;</w:t>
      </w:r>
    </w:p>
    <w:p>
      <w:pPr>
        <w:pStyle w:val="Instrukcja–punkt"/>
      </w:pPr>
      <w:r>
        <w:rPr>
          <w:b/>
          <w:color w:val="7F2838"/>
        </w:rPr>
        <w:t xml:space="preserve">•  </w:t>
      </w:r>
      <w:r>
        <w:t>ustal datę oraz treść ostatniego postanowienia, wezwania lub zawiadomienia w sprawie;</w:t>
      </w:r>
    </w:p>
    <w:p>
      <w:pPr>
        <w:pStyle w:val="Instrukcja–punkt"/>
      </w:pPr>
      <w:r>
        <w:rPr>
          <w:b/>
          <w:color w:val="7F2838"/>
        </w:rPr>
        <w:t xml:space="preserve">•  </w:t>
      </w:r>
      <w:r>
        <w:t>opisz fakty chronologicznie i oddziel je od ocen; każdą istotną okoliczność powiąż z dokumentem albo innym dowodem;</w:t>
      </w:r>
    </w:p>
    <w:p>
      <w:pPr>
        <w:pStyle w:val="Instrukcja–punkt"/>
      </w:pPr>
      <w:r>
        <w:rPr>
          <w:b/>
          <w:color w:val="7F2838"/>
        </w:rPr>
        <w:t xml:space="preserve">•  </w:t>
      </w:r>
      <w:r>
        <w:t>sprawdź, czy równolegle nie biegnie termin do zaskarżenia innego rozstrzygnięcia.</w:t>
      </w:r>
    </w:p>
    <w:p>
      <w:pPr>
        <w:pStyle w:val="Instrukcja–punkt"/>
      </w:pPr>
      <w:r>
        <w:rPr>
          <w:b/>
          <w:color w:val="7F2838"/>
        </w:rPr>
        <w:t xml:space="preserve">•  </w:t>
      </w:r>
      <w:r>
        <w:t>ustal pełną nazwę i adres zakładu karnego oraz sąd okręgowy wykonujący nad nim nadzór penitencjarny;</w:t>
      </w:r>
    </w:p>
    <w:p>
      <w:pPr>
        <w:pStyle w:val="Instrukcja–punkt"/>
      </w:pPr>
      <w:r>
        <w:rPr>
          <w:b/>
          <w:color w:val="7F2838"/>
        </w:rPr>
        <w:t xml:space="preserve">•  </w:t>
      </w:r>
      <w:r>
        <w:t>sprawdź daty wcześniejszych przerw i datę powrotu do jednostki.</w:t>
      </w:r>
    </w:p>
    <w:p>
      <w:pPr>
        <w:pStyle w:val="Heading1"/>
      </w:pPr>
      <w:r>
        <w:t>Najczęściej potrzebne załączniki</w:t>
      </w:r>
    </w:p>
    <w:p>
      <w:pPr>
        <w:pStyle w:val="Instrukcja–punkt"/>
      </w:pPr>
      <w:r>
        <w:rPr>
          <w:b/>
          <w:color w:val="7F2838"/>
        </w:rPr>
        <w:t xml:space="preserve">•  </w:t>
      </w:r>
      <w:r>
        <w:t>aktualna dokumentacja medyczna i informacje o możliwościach leczenia w warunkach penitencjarnych;</w:t>
      </w:r>
    </w:p>
    <w:p>
      <w:pPr>
        <w:pStyle w:val="Instrukcja–punkt"/>
      </w:pPr>
      <w:r>
        <w:rPr>
          <w:b/>
          <w:color w:val="7F2838"/>
        </w:rPr>
        <w:t xml:space="preserve">•  </w:t>
      </w:r>
      <w:r>
        <w:t>akty stanu cywilnego, dokumenty opieki, zaświadczenia medyczne członka rodziny lub inne dowody ważnych względów;</w:t>
      </w:r>
    </w:p>
    <w:p>
      <w:pPr>
        <w:pStyle w:val="Instrukcja–punkt"/>
      </w:pPr>
      <w:r>
        <w:rPr>
          <w:b/>
          <w:color w:val="7F2838"/>
        </w:rPr>
        <w:t xml:space="preserve">•  </w:t>
      </w:r>
      <w:r>
        <w:t>plan wykorzystania przerwy, miejsce pobytu i sposób wykonania celu;</w:t>
      </w:r>
    </w:p>
    <w:p>
      <w:pPr>
        <w:pStyle w:val="Instrukcja–punkt"/>
      </w:pPr>
      <w:r>
        <w:rPr>
          <w:b/>
          <w:color w:val="7F2838"/>
        </w:rPr>
        <w:t xml:space="preserve">•  </w:t>
      </w:r>
      <w:r>
        <w:t>dowód opłaty albo wniosek o zwolnienie od kosztów.</w:t>
      </w:r>
    </w:p>
    <w:p>
      <w:pPr>
        <w:pStyle w:val="Heading1"/>
      </w:pPr>
      <w:r>
        <w:t>Granice wzoru</w:t>
      </w:r>
    </w:p>
    <w:p>
      <w:pPr>
        <w:pStyle w:val="Instrukcja–punkt"/>
      </w:pPr>
      <w:r>
        <w:rPr>
          <w:b/>
          <w:color w:val="7F2838"/>
        </w:rPr>
        <w:t xml:space="preserve">•  </w:t>
      </w:r>
      <w:r>
        <w:t>wzór nie zastępuje analizy akt, prawomocności orzeczeń ani właściwości sądu;</w:t>
      </w:r>
    </w:p>
    <w:p>
      <w:pPr>
        <w:pStyle w:val="Instrukcja–punkt"/>
      </w:pPr>
      <w:r>
        <w:rPr>
          <w:b/>
          <w:color w:val="7F2838"/>
        </w:rPr>
        <w:t xml:space="preserve">•  </w:t>
      </w:r>
      <w:r>
        <w:t>samo wniesienie pisma co do zasady nie wstrzymuje wykonania orzeczenia; jeżeli ustawa na to pozwala, potrzebne jest odrębne, wyraźne rozstrzygnięcie;</w:t>
      </w:r>
    </w:p>
    <w:p>
      <w:pPr>
        <w:pStyle w:val="Instrukcja–punkt"/>
      </w:pPr>
      <w:r>
        <w:rPr>
          <w:b/>
          <w:color w:val="7F2838"/>
        </w:rPr>
        <w:t xml:space="preserve">•  </w:t>
      </w:r>
      <w:r>
        <w:t>nie wolno tworzyć, przerabiać ani zatajać dowodów; opis musi odpowiadać rzeczywistemu stanowi rzeczy;</w:t>
      </w:r>
    </w:p>
    <w:p>
      <w:pPr>
        <w:pStyle w:val="Instrukcja–punkt"/>
      </w:pPr>
      <w:r>
        <w:rPr>
          <w:b/>
          <w:color w:val="7F2838"/>
        </w:rPr>
        <w:t xml:space="preserve">•  </w:t>
      </w:r>
      <w:r>
        <w:t>jeżeli termin jest krótki, osoba jest już pozbawiona wolności albo istnieje ryzyko zatrzymania, dokument powinien zostać pilnie zweryfikowany indywidualnie.</w:t>
      </w:r>
    </w:p>
    <w:p>
      <w:pPr>
        <w:pStyle w:val="Instrukcja–punkt"/>
      </w:pPr>
      <w:r>
        <w:rPr>
          <w:b/>
          <w:color w:val="7F2838"/>
        </w:rPr>
        <w:t xml:space="preserve">•  </w:t>
      </w:r>
      <w:r>
        <w:t>typowe trudności rodziny związane z osadzeniem mogą nie wystarczyć; trzeba wykazać szczególny charakter skutków i brak realnego zastępstwa;</w:t>
      </w:r>
    </w:p>
    <w:p>
      <w:pPr>
        <w:pStyle w:val="Instrukcja–punkt"/>
      </w:pPr>
      <w:r>
        <w:rPr>
          <w:b/>
          <w:color w:val="7F2838"/>
        </w:rPr>
        <w:t xml:space="preserve">•  </w:t>
      </w:r>
      <w:r>
        <w:t>przerwa nie jest środkiem do kwestionowania winy ani wymiaru prawomocnej kary.</w:t>
      </w:r>
    </w:p>
    <w:p>
      <w:pPr>
        <w:pStyle w:val="Blok–odstęp"/>
      </w:pPr>
    </w:p>
    <w:tbl>
      <w:tblPr>
        <w:tblW w:type="auto" w:w="0"/>
        <w:jc w:val="center"/>
        <w:tblLook w:firstColumn="1" w:firstRow="1" w:lastColumn="0" w:lastRow="0" w:noHBand="0" w:noVBand="1" w:val="04A0"/>
      </w:tblPr>
      <w:tblGrid>
        <w:gridCol w:w="9412"/>
      </w:tblGrid>
      <w:tr>
        <w:trPr>
          <w:cantSplit/>
        </w:trPr>
        <w:tc>
          <w:tcPr>
            <w:tcW w:type="dxa" w:w="9412"/>
            <w:shd w:fill="F3EEE9"/>
            <w:tcMar>
              <w:top w:w="220" w:type="dxa"/>
              <w:start w:w="200" w:type="dxa"/>
              <w:bottom w:w="220" w:type="dxa"/>
              <w:end w:w="200" w:type="dxa"/>
            </w:tcMar>
          </w:tcPr>
          <w:p>
            <w:pPr>
              <w:spacing w:after="60"/>
            </w:pPr>
            <w:r>
              <w:rPr>
                <w:rFonts w:ascii="Liberation Sans" w:hAnsi="Liberation Sans" w:eastAsia="Liberation Sans"/>
                <w:b/>
                <w:color w:val="7F2838"/>
                <w:sz w:val="19"/>
              </w:rPr>
              <w:t>PRZED ZŁOŻENIEM</w:t>
            </w:r>
          </w:p>
          <w:p>
            <w:pPr>
              <w:spacing w:after="0" w:line="283" w:lineRule="auto"/>
            </w:pPr>
            <w:r>
              <w:t>Usuń wszystkie czerwone nawiasy i instrukcje techniczne. Wpisz wyłącznie dane zgodne z dokumentami. Nie dołączaj materiałów zawierających dane osób trzecich, jeżeli nie są potrzebne do rozpoznania wniosku. Zachowaj kopię pisma oraz dowód jego wniesienia.</w:t>
            </w:r>
          </w:p>
        </w:tc>
      </w:tr>
    </w:tbl>
    <w:p>
      <w:pPr>
        <w:pStyle w:val="Blok–odstęp"/>
      </w:pPr>
    </w:p>
    <w:p>
      <w:pPr>
        <w:pStyle w:val="Heading1"/>
      </w:pPr>
      <w:r>
        <w:t>Kontrola przed złożeniem</w:t>
      </w:r>
    </w:p>
    <w:p>
      <w:pPr>
        <w:pStyle w:val="Instrukcja–punkt"/>
      </w:pPr>
      <w:r>
        <w:rPr>
          <w:b/>
          <w:color w:val="7F2838"/>
        </w:rPr>
        <w:t xml:space="preserve">□  </w:t>
      </w:r>
      <w:r>
        <w:t>na każdej stronie widnieje właściwe imię i nazwisko, a w nagłówku — prawidłowy sąd lub organ;</w:t>
      </w:r>
    </w:p>
    <w:p>
      <w:pPr>
        <w:pStyle w:val="Instrukcja–punkt"/>
      </w:pPr>
      <w:r>
        <w:rPr>
          <w:b/>
          <w:color w:val="7F2838"/>
        </w:rPr>
        <w:t xml:space="preserve">□  </w:t>
      </w:r>
      <w:r>
        <w:t>wskazano sygnaturę, dokładne żądanie i podstawę faktyczną;</w:t>
      </w:r>
    </w:p>
    <w:p>
      <w:pPr>
        <w:pStyle w:val="Instrukcja–punkt"/>
      </w:pPr>
      <w:r>
        <w:rPr>
          <w:b/>
          <w:color w:val="7F2838"/>
        </w:rPr>
        <w:t xml:space="preserve">□  </w:t>
      </w:r>
      <w:r>
        <w:t>daty, kwoty, okresy i dane z dokumentów zostały przepisane bez zmiany;</w:t>
      </w:r>
    </w:p>
    <w:p>
      <w:pPr>
        <w:pStyle w:val="Instrukcja–punkt"/>
      </w:pPr>
      <w:r>
        <w:rPr>
          <w:b/>
          <w:color w:val="7F2838"/>
        </w:rPr>
        <w:t xml:space="preserve">□  </w:t>
      </w:r>
      <w:r>
        <w:t>wszystkie powołane załączniki są dołączone, ponumerowane i wymienione na końcu;</w:t>
      </w:r>
    </w:p>
    <w:p>
      <w:pPr>
        <w:pStyle w:val="Instrukcja–punkt"/>
      </w:pPr>
      <w:r>
        <w:rPr>
          <w:b/>
          <w:color w:val="7F2838"/>
        </w:rPr>
        <w:t xml:space="preserve">□  </w:t>
      </w:r>
      <w:r>
        <w:t>uiszczono wymaganą opłatę albo dołączono właściwy wniosek dotyczący kosztów;</w:t>
      </w:r>
    </w:p>
    <w:p>
      <w:pPr>
        <w:pStyle w:val="Instrukcja–punkt"/>
      </w:pPr>
      <w:r>
        <w:rPr>
          <w:b/>
          <w:color w:val="7F2838"/>
        </w:rPr>
        <w:t xml:space="preserve">□  </w:t>
      </w:r>
      <w:r>
        <w:t>usunięto czerwone instrukcje oraz warianty, które nie dotyczą sprawy;</w:t>
      </w:r>
    </w:p>
    <w:p>
      <w:pPr>
        <w:pStyle w:val="Instrukcja–punkt"/>
      </w:pPr>
      <w:r>
        <w:rPr>
          <w:b/>
          <w:color w:val="7F2838"/>
        </w:rPr>
        <w:t xml:space="preserve">□  </w:t>
      </w:r>
      <w:r>
        <w:t>pismo jest podpisane, a kopia i potwierdzenie złożenia pozostają u wnioskodawcy.</w:t>
      </w:r>
    </w:p>
    <w:p>
      <w:pPr>
        <w:sectPr>
          <w:headerReference w:type="default" r:id="rId9"/>
          <w:footerReference w:type="default" r:id="rId10"/>
          <w:pgSz w:w="11906" w:h="16838"/>
          <w:pgMar w:top="1020" w:right="1247" w:bottom="964" w:left="1247" w:header="454" w:footer="454" w:gutter="0"/>
          <w:cols w:space="720"/>
          <w:docGrid w:linePitch="360"/>
        </w:sectPr>
      </w:pPr>
    </w:p>
    <w:p>
      <w:pPr>
        <w:pStyle w:val="Pismo–treść"/>
        <w:spacing w:line="252" w:lineRule="auto" w:after="60"/>
        <w:ind w:left="4422"/>
        <w:jc w:val="right"/>
      </w:pPr>
      <w:r>
        <w:rPr>
          <w:rFonts w:ascii="Liberation Sans" w:hAnsi="Liberation Sans" w:eastAsia="Liberation Sans"/>
          <w:b w:val="0"/>
          <w:color w:val="A62134"/>
        </w:rPr>
        <w:t>[miejscowość]</w:t>
      </w:r>
      <w:r>
        <w:t xml:space="preserve">, dnia </w:t>
      </w:r>
      <w:r>
        <w:rPr>
          <w:rFonts w:ascii="Liberation Sans" w:hAnsi="Liberation Sans" w:eastAsia="Liberation Sans"/>
          <w:b w:val="0"/>
          <w:color w:val="A62134"/>
        </w:rPr>
        <w:t>[dzień miesiąc rok]</w:t>
      </w:r>
    </w:p>
    <w:p>
      <w:pPr>
        <w:pStyle w:val="Pismo–treść"/>
        <w:spacing w:line="252" w:lineRule="auto" w:after="0"/>
        <w:ind w:right="4082"/>
        <w:jc w:val="left"/>
      </w:pPr>
      <w:r>
        <w:rPr>
          <w:b/>
        </w:rPr>
        <w:t>Wnioskodawca / skazany:</w:t>
        <w:br/>
      </w:r>
      <w:r>
        <w:rPr>
          <w:rFonts w:ascii="Liberation Sans" w:hAnsi="Liberation Sans" w:eastAsia="Liberation Sans"/>
          <w:b w:val="0"/>
          <w:color w:val="A62134"/>
        </w:rPr>
        <w:t>[imię i nazwisko]</w:t>
      </w:r>
      <w:r>
        <w:br/>
      </w:r>
      <w:r>
        <w:rPr>
          <w:rFonts w:ascii="Liberation Sans" w:hAnsi="Liberation Sans" w:eastAsia="Liberation Sans"/>
          <w:b w:val="0"/>
          <w:color w:val="A62134"/>
        </w:rPr>
        <w:t>[adres do korespondencji]</w:t>
      </w:r>
      <w:r>
        <w:br/>
      </w:r>
      <w:r>
        <w:rPr>
          <w:rFonts w:ascii="Liberation Sans" w:hAnsi="Liberation Sans" w:eastAsia="Liberation Sans"/>
          <w:b w:val="0"/>
          <w:color w:val="A62134"/>
        </w:rPr>
        <w:t>[PESEL albo data urodzenia]</w:t>
      </w:r>
      <w:r>
        <w:br/>
      </w:r>
      <w:r>
        <w:rPr>
          <w:rFonts w:ascii="Liberation Sans" w:hAnsi="Liberation Sans" w:eastAsia="Liberation Sans"/>
          <w:b w:val="0"/>
          <w:color w:val="A62134"/>
        </w:rPr>
        <w:t>[telefon lub e-mail — opcjonalnie]</w:t>
      </w:r>
    </w:p>
    <w:p>
      <w:pPr>
        <w:pStyle w:val="Pismo–treść"/>
        <w:spacing w:line="252" w:lineRule="auto" w:before="40" w:after="100"/>
        <w:ind w:right="1984"/>
        <w:jc w:val="left"/>
      </w:pPr>
      <w:r>
        <w:rPr>
          <w:b/>
        </w:rPr>
        <w:t xml:space="preserve">Sygnatura akt: </w:t>
      </w:r>
      <w:r>
        <w:rPr>
          <w:rFonts w:ascii="Liberation Sans" w:hAnsi="Liberation Sans" w:eastAsia="Liberation Sans"/>
          <w:b w:val="0"/>
          <w:color w:val="A62134"/>
        </w:rPr>
        <w:t>[sygnatura wykonawcza i/lub sygnatura wyroku]</w:t>
      </w:r>
    </w:p>
    <w:p>
      <w:pPr>
        <w:pStyle w:val="Pismo–treść"/>
        <w:spacing w:line="252" w:lineRule="auto" w:before="40" w:after="120"/>
        <w:ind w:left="4082"/>
        <w:jc w:val="right"/>
      </w:pPr>
      <w:r>
        <w:rPr>
          <w:b/>
        </w:rPr>
        <w:t>Do:</w:t>
        <w:br/>
      </w:r>
      <w:r>
        <w:rPr>
          <w:rFonts w:ascii="Liberation Sans" w:hAnsi="Liberation Sans" w:eastAsia="Liberation Sans"/>
          <w:b w:val="0"/>
          <w:color w:val="A62134"/>
        </w:rPr>
        <w:t>[Sąd Okręgowy w [WYPEŁNIJ], Wydział Penitencjarny]</w:t>
      </w:r>
    </w:p>
    <w:p>
      <w:pPr>
        <w:spacing w:before="80" w:after="80"/>
        <w:jc w:val="center"/>
      </w:pPr>
      <w:r>
        <w:rPr>
          <w:rFonts w:ascii="Liberation Sans" w:hAnsi="Liberation Sans" w:eastAsia="Liberation Sans"/>
          <w:b/>
          <w:color w:val="1F4B43"/>
          <w:sz w:val="31"/>
        </w:rPr>
        <w:t>WNIOSEK O UDZIELENIE PRZERWY W WYKONANIU KARY POZBAWIENIA WOLNOŚCI</w:t>
      </w:r>
    </w:p>
    <w:p>
      <w:pPr>
        <w:pStyle w:val="Pismo–treść"/>
        <w:spacing w:line="276" w:lineRule="auto" w:after="120"/>
        <w:jc w:val="both"/>
      </w:pPr>
      <w:r>
        <w:rPr>
          <w:b/>
        </w:rPr>
        <w:t>Wnoszę o:</w:t>
      </w:r>
    </w:p>
    <w:p>
      <w:pPr>
        <w:pStyle w:val="Pismo–treść"/>
        <w:spacing w:line="276" w:lineRule="auto" w:after="120"/>
        <w:ind w:left="454" w:hanging="454"/>
        <w:jc w:val="both"/>
      </w:pPr>
      <w:r>
        <w:rPr>
          <w:b/>
        </w:rPr>
        <w:t xml:space="preserve">1.  </w:t>
      </w:r>
      <w:r>
        <w:t>udzielenie skazanemu [WYPEŁNIJ] przerwy w wykonaniu kary na okres [WYPEŁNIJ];</w:t>
      </w:r>
    </w:p>
    <w:p>
      <w:pPr>
        <w:pStyle w:val="Pismo–treść"/>
        <w:spacing w:line="276" w:lineRule="auto" w:after="120"/>
        <w:ind w:left="454" w:hanging="454"/>
        <w:jc w:val="both"/>
      </w:pPr>
      <w:r>
        <w:rPr>
          <w:b/>
        </w:rPr>
        <w:t xml:space="preserve">2.  </w:t>
      </w:r>
      <w:r>
        <w:t>zwrócenie się do administracji Zakładu Karnego w [WYPEŁNIJ] o aktualną opinię i dokumentację istotną dla wniosku;</w:t>
      </w:r>
    </w:p>
    <w:p>
      <w:pPr>
        <w:pStyle w:val="Pismo–treść"/>
        <w:spacing w:line="276" w:lineRule="auto" w:after="120"/>
        <w:ind w:left="454" w:hanging="454"/>
        <w:jc w:val="both"/>
      </w:pPr>
      <w:r>
        <w:rPr>
          <w:b/>
        </w:rPr>
        <w:t xml:space="preserve">3.  </w:t>
      </w:r>
      <w:r>
        <w:t>dopuszczenie dowodów wskazanych poniżej.</w:t>
      </w:r>
    </w:p>
    <w:p>
      <w:pPr>
        <w:pStyle w:val="Heading2"/>
      </w:pPr>
      <w:r>
        <w:t>Uzasadnienie</w:t>
      </w:r>
    </w:p>
    <w:p>
      <w:pPr>
        <w:pStyle w:val="Pismo–treść"/>
        <w:spacing w:line="276" w:lineRule="auto" w:after="120"/>
        <w:jc w:val="both"/>
      </w:pPr>
      <w:r>
        <w:t>Skazany odbywa karę w Zakładzie Karnym w [WYPEŁNIJ] od dnia [WYPEŁNIJ]. Przewidywany koniec kary przypada na [WYPEŁNIJ].</w:t>
      </w:r>
    </w:p>
    <w:p>
      <w:pPr>
        <w:pStyle w:val="Pismo–treść"/>
        <w:spacing w:line="276" w:lineRule="auto" w:after="120"/>
        <w:jc w:val="both"/>
      </w:pPr>
      <w:r>
        <w:t>Podstawą wniosku jest [WYPEŁNIJ: ciężka choroba / ważne względy rodzinne / ważne względy osobiste].</w:t>
      </w:r>
    </w:p>
    <w:p>
      <w:pPr>
        <w:pStyle w:val="Pismo–treść"/>
        <w:spacing w:line="276" w:lineRule="auto" w:after="120"/>
        <w:jc w:val="both"/>
      </w:pPr>
      <w:r>
        <w:rPr>
          <w:rFonts w:ascii="Liberation Sans" w:hAnsi="Liberation Sans" w:eastAsia="Liberation Sans"/>
          <w:b w:val="0"/>
          <w:color w:val="A62134"/>
        </w:rPr>
        <w:t>[WYPEŁNIJ: przedstaw chronologię, aktualny stan i konkretne zadanie, którego wykonanie wymaga osobistej obecności skazanego.]</w:t>
      </w:r>
    </w:p>
    <w:p>
      <w:pPr>
        <w:pStyle w:val="Pismo–treść"/>
        <w:spacing w:line="276" w:lineRule="auto" w:after="120"/>
        <w:jc w:val="both"/>
      </w:pPr>
      <w:r>
        <w:t>Dostępne rozwiązania zastępcze zostały sprawdzone: [WYPEŁNIJ]. Nie wystarczają, ponieważ [WYPEŁNIJ].</w:t>
      </w:r>
    </w:p>
    <w:p>
      <w:pPr>
        <w:pStyle w:val="Pismo–treść"/>
        <w:spacing w:line="276" w:lineRule="auto" w:after="120"/>
        <w:jc w:val="both"/>
      </w:pPr>
      <w:r>
        <w:t>W czasie przerwy skazany będzie przebywał pod adresem [WYPEŁNIJ] i wykona następujący plan: [WYPEŁNIJ: działania z terminami].</w:t>
      </w:r>
    </w:p>
    <w:p>
      <w:pPr>
        <w:pStyle w:val="Heading2"/>
      </w:pPr>
      <w:r>
        <w:t>Dowody i dokumenty</w:t>
      </w:r>
    </w:p>
    <w:p>
      <w:pPr>
        <w:pStyle w:val="Pismo–treść"/>
        <w:spacing w:line="276" w:lineRule="auto" w:after="120"/>
        <w:ind w:left="454" w:hanging="454"/>
        <w:jc w:val="both"/>
      </w:pPr>
      <w:r>
        <w:rPr>
          <w:b/>
        </w:rPr>
        <w:t xml:space="preserve">1.  </w:t>
      </w:r>
      <w:r>
        <w:t>[WYPEŁNIJ: dokument medyczny/rodzinny] — na okoliczność [WYPEŁNIJ];</w:t>
      </w:r>
    </w:p>
    <w:p>
      <w:pPr>
        <w:pStyle w:val="Pismo–treść"/>
        <w:spacing w:line="276" w:lineRule="auto" w:after="120"/>
        <w:ind w:left="454" w:hanging="454"/>
        <w:jc w:val="both"/>
      </w:pPr>
      <w:r>
        <w:rPr>
          <w:b/>
        </w:rPr>
        <w:t xml:space="preserve">2.  </w:t>
      </w:r>
      <w:r>
        <w:t>opinia jednostki penitencjarnej i dane o przebiegu kary;</w:t>
      </w:r>
    </w:p>
    <w:p>
      <w:pPr>
        <w:pStyle w:val="Pismo–treść"/>
        <w:spacing w:line="276" w:lineRule="auto" w:after="120"/>
        <w:ind w:left="454" w:hanging="454"/>
        <w:jc w:val="both"/>
      </w:pPr>
      <w:r>
        <w:rPr>
          <w:b/>
        </w:rPr>
        <w:t xml:space="preserve">3.  </w:t>
      </w:r>
      <w:r>
        <w:t>[WYPEŁNIJ: świadek albo inny dowód] — na okoliczność [WYPEŁNIJ].</w:t>
      </w:r>
    </w:p>
    <w:p>
      <w:pPr>
        <w:pStyle w:val="Pismo–treść"/>
        <w:spacing w:before="80"/>
        <w:jc w:val="right"/>
      </w:pPr>
      <w:r>
        <w:rPr>
          <w:rFonts w:ascii="Liberation Sans" w:hAnsi="Liberation Sans" w:eastAsia="Liberation Sans"/>
          <w:b w:val="0"/>
          <w:color w:val="A62134"/>
        </w:rPr>
        <w:t>[czytelny podpis wnioskodawcy albo podpis pełnomocnika]</w:t>
      </w:r>
    </w:p>
    <w:p>
      <w:pPr>
        <w:pStyle w:val="Heading2"/>
        <w:keepNext/>
        <w:spacing w:before="80" w:after="60"/>
      </w:pPr>
      <w:r>
        <w:t>Załączniki</w:t>
      </w:r>
    </w:p>
    <w:p>
      <w:pPr>
        <w:pStyle w:val="Pismo–treść"/>
        <w:keepNext/>
        <w:spacing w:line="276" w:lineRule="auto" w:after="40"/>
        <w:ind w:left="454" w:hanging="454"/>
        <w:jc w:val="both"/>
      </w:pPr>
      <w:r>
        <w:rPr>
          <w:b/>
        </w:rPr>
        <w:t xml:space="preserve">1.  </w:t>
      </w:r>
      <w:r>
        <w:t>dokumentacja wskazana w uzasadnieniu;</w:t>
      </w:r>
    </w:p>
    <w:p>
      <w:pPr>
        <w:pStyle w:val="Pismo–treść"/>
        <w:spacing w:line="276" w:lineRule="auto" w:after="40"/>
        <w:ind w:left="454" w:hanging="454"/>
        <w:jc w:val="both"/>
      </w:pPr>
      <w:r>
        <w:rPr>
          <w:b/>
        </w:rPr>
        <w:t xml:space="preserve">2.  </w:t>
      </w:r>
      <w:r>
        <w:t>dowód opłaty albo wniosek dotyczący kosztów.</w:t>
      </w:r>
    </w:p>
    <w:p>
      <w:pPr>
        <w:sectPr>
          <w:headerReference w:type="default" r:id="rId11"/>
          <w:footerReference w:type="default" r:id="rId12"/>
          <w:pgSz w:w="11906" w:h="16838"/>
          <w:pgMar w:top="964" w:right="1361" w:bottom="737" w:left="1361" w:header="454" w:footer="454" w:gutter="0"/>
          <w:cols w:space="720"/>
          <w:docGrid w:linePitch="360"/>
        </w:sectPr>
      </w:pPr>
    </w:p>
    <w:p>
      <w:pPr>
        <w:spacing w:after="80"/>
        <w:jc w:val="center"/>
      </w:pPr>
      <w:r>
        <w:rPr>
          <w:rFonts w:ascii="Liberation Sans" w:hAnsi="Liberation Sans" w:eastAsia="Liberation Sans"/>
          <w:b/>
          <w:color w:val="7F2838"/>
          <w:sz w:val="21"/>
        </w:rPr>
        <w:t>MODELOWY PRZYKŁAD WYPEŁNIONEGO PISMA</w:t>
      </w:r>
    </w:p>
    <w:p>
      <w:pPr>
        <w:pStyle w:val="Pismo–małe"/>
        <w:spacing w:after="240"/>
        <w:jc w:val="center"/>
      </w:pPr>
      <w:r>
        <w:t>Wszystkie osoby, adresy, sygnatury i zdarzenia opisane poniżej są fikcyjne. Przykład pokazuje, jak połączyć twierdzenia z dowodami i przedstawić plan. Nie stanowi gotowej treści dla innej sprawy.</w:t>
      </w:r>
    </w:p>
    <w:p>
      <w:pPr>
        <w:pStyle w:val="Pismo–treść"/>
        <w:spacing w:after="60"/>
        <w:ind w:left="4422"/>
        <w:jc w:val="right"/>
      </w:pPr>
      <w:r>
        <w:t>Łowicz, 28 października 2026 r.</w:t>
      </w:r>
    </w:p>
    <w:p>
      <w:pPr>
        <w:pStyle w:val="Pismo–treść"/>
        <w:spacing w:after="60"/>
        <w:ind w:right="3685"/>
        <w:jc w:val="left"/>
      </w:pPr>
      <w:r>
        <w:rPr>
          <w:b/>
        </w:rPr>
        <w:t>Skazany:</w:t>
        <w:br/>
      </w:r>
      <w:r>
        <w:t>Piotr Przykładowy</w:t>
        <w:br/>
        <w:t>Zakład Karny w Łowiczu</w:t>
        <w:br/>
        <w:t>PESEL: 00000000000 (dane fikcyjne)</w:t>
      </w:r>
    </w:p>
    <w:p>
      <w:pPr>
        <w:pStyle w:val="Pismo–treść"/>
        <w:spacing w:after="100"/>
        <w:ind w:right="2551"/>
        <w:jc w:val="left"/>
      </w:pPr>
      <w:r>
        <w:rPr>
          <w:b/>
        </w:rPr>
        <w:t xml:space="preserve">Sygnatura akt: </w:t>
      </w:r>
      <w:r>
        <w:t>VI Kow 000/26 (sygnatura fikcyjna)</w:t>
      </w:r>
    </w:p>
    <w:p>
      <w:pPr>
        <w:pStyle w:val="Pismo–treść"/>
        <w:spacing w:after="160"/>
        <w:ind w:left="3969"/>
        <w:jc w:val="right"/>
      </w:pPr>
      <w:r>
        <w:rPr>
          <w:b/>
        </w:rPr>
        <w:t>Do:</w:t>
        <w:br/>
      </w:r>
      <w:r>
        <w:t>Sąd Okręgowy w Łodzi</w:t>
        <w:br/>
        <w:t>Wydział Penitencjarny</w:t>
      </w:r>
    </w:p>
    <w:p>
      <w:pPr>
        <w:spacing w:before="80" w:after="100"/>
        <w:jc w:val="center"/>
      </w:pPr>
      <w:r>
        <w:rPr>
          <w:rFonts w:ascii="Liberation Sans" w:hAnsi="Liberation Sans" w:eastAsia="Liberation Sans"/>
          <w:b/>
          <w:color w:val="1F4B43"/>
          <w:sz w:val="31"/>
        </w:rPr>
        <w:t>WNIOSEK O UDZIELENIE PRZERWY W WYKONANIU KARY POZBAWIENIA WOLNOŚCI</w:t>
      </w:r>
    </w:p>
    <w:p>
      <w:pPr>
        <w:pStyle w:val="Pismo–treść"/>
        <w:jc w:val="both"/>
      </w:pPr>
      <w:r>
        <w:rPr>
          <w:b/>
        </w:rPr>
        <w:t>Wnoszę o:</w:t>
      </w:r>
    </w:p>
    <w:p>
      <w:pPr>
        <w:pStyle w:val="Pismo–treść"/>
        <w:spacing w:line="276" w:lineRule="auto" w:after="120"/>
        <w:ind w:left="454" w:hanging="454"/>
        <w:jc w:val="both"/>
      </w:pPr>
      <w:r>
        <w:rPr>
          <w:b/>
        </w:rPr>
        <w:t xml:space="preserve">1.  </w:t>
      </w:r>
      <w:r>
        <w:t>udzielenie mi przerwy w wykonaniu kary pozbawienia wolności na okres trzech miesięcy;</w:t>
      </w:r>
    </w:p>
    <w:p>
      <w:pPr>
        <w:pStyle w:val="Pismo–treść"/>
        <w:spacing w:line="276" w:lineRule="auto" w:after="120"/>
        <w:ind w:left="454" w:hanging="454"/>
        <w:jc w:val="both"/>
      </w:pPr>
      <w:r>
        <w:rPr>
          <w:b/>
        </w:rPr>
        <w:t xml:space="preserve">2.  </w:t>
      </w:r>
      <w:r>
        <w:t>zwrócenie się do dyrektora Zakładu Karnego w Łowiczu o aktualną opinię dotyczącą mojego zachowania i przebiegu wykonywania kary;</w:t>
      </w:r>
    </w:p>
    <w:p>
      <w:pPr>
        <w:pStyle w:val="Pismo–treść"/>
        <w:spacing w:line="276" w:lineRule="auto" w:after="120"/>
        <w:ind w:left="454" w:hanging="454"/>
        <w:jc w:val="both"/>
      </w:pPr>
      <w:r>
        <w:rPr>
          <w:b/>
        </w:rPr>
        <w:t xml:space="preserve">3.  </w:t>
      </w:r>
      <w:r>
        <w:t>dopuszczenie i przeprowadzenie dowodów wskazanych w uzasadnieniu.</w:t>
      </w:r>
    </w:p>
    <w:p>
      <w:pPr>
        <w:pStyle w:val="Heading2"/>
      </w:pPr>
      <w:r>
        <w:t>Uzasadnienie</w:t>
      </w:r>
    </w:p>
    <w:p>
      <w:pPr>
        <w:pStyle w:val="Pismo–treść"/>
        <w:spacing w:line="288" w:lineRule="auto" w:after="160"/>
        <w:ind w:firstLine="454"/>
        <w:jc w:val="both"/>
      </w:pPr>
      <w:r>
        <w:t>Od 3 lutego 2026 r. odbywam karę 2 lat pozbawienia wolności. Przewidywany koniec kary przypada 2 lutego 2028 r. Nie korzystałem dotychczas z przerwy w jej wykonywaniu.</w:t>
      </w:r>
    </w:p>
    <w:p>
      <w:pPr>
        <w:pStyle w:val="Pismo–treść"/>
        <w:spacing w:line="288" w:lineRule="auto" w:after="160"/>
        <w:ind w:firstLine="454"/>
        <w:jc w:val="both"/>
      </w:pPr>
      <w:r>
        <w:t>Wniosek uzasadnia nagła zmiana sytuacji mojej rodziny. Moja matka, która sprawowała stałą opiekę nad moją całkowicie ubezwłasnowolnioną siostrą Anną Przykładową, 2 października 2026 r. doznała rozległego udaru. Nadal przebywa w szpitalu, a lekarz przewiduje wielomiesięczną rehabilitację i wyklucza jej powrót do samodzielnej opieki w najbliższym czasie.</w:t>
      </w:r>
    </w:p>
    <w:p>
      <w:pPr>
        <w:pStyle w:val="Pismo–treść"/>
        <w:spacing w:line="288" w:lineRule="auto" w:after="160"/>
        <w:ind w:firstLine="454"/>
        <w:jc w:val="both"/>
      </w:pPr>
      <w:r>
        <w:t>Moja siostra wymaga pomocy przy wszystkich podstawowych czynnościach, regularnego podawania leków i nadzoru nocnego. Jestem jej ustanowionym przez sąd opiekunem prawnym. Po moim osadzeniu codzienne czynności wykonywała matka. Po jej hospitalizacji opiekę przez kilka dni zapewniała odpłatnie sąsiadka, lecz ze względu na stan zdrowia i zakres potrzeb siostry nie jest w stanie kontynuować jej przez całą dobę.</w:t>
      </w:r>
    </w:p>
    <w:p>
      <w:pPr>
        <w:pStyle w:val="Pismo–treść"/>
        <w:spacing w:line="288" w:lineRule="auto" w:after="160"/>
        <w:ind w:firstLine="454"/>
        <w:jc w:val="both"/>
      </w:pPr>
      <w:r>
        <w:t>Ośrodek pomocy społecznej przeprowadził wywiad 9 października 2026 r. i przyznał pomoc doraźną w wymiarze czterech godzin dziennie. Jednocześnie pisemnie wskazał, że nie dysponuje miejscem w całodobowej placówce przed 15 stycznia 2027 r. Dom pomocy społecznej w Kutnie wstępnie zarezerwował od tego dnia miejsce, ale warunkiem przyjęcia jest skompletowanie dokumentacji medycznej, aktualizacja postanowienia sądu opiekuńczego, podpisanie umowy i zorganizowanie transportu.</w:t>
      </w:r>
    </w:p>
    <w:p>
      <w:pPr>
        <w:pStyle w:val="Pismo–treść"/>
        <w:spacing w:line="288" w:lineRule="auto" w:after="160"/>
        <w:ind w:firstLine="454"/>
        <w:jc w:val="both"/>
      </w:pPr>
      <w:r>
        <w:t>Sprawdziłem możliwość wykonania tych czynności przez dalszą rodzinę i pełnomocnika. Ojciec nie żyje, a inni krewni nie utrzymują kontaktu z siostrą i odmówili przejęcia opieki. Ze względu na moje formalne umocowanie część decyzji dotyczących leczenia, postępowania opiekuńczego i umowy z placówką wymaga mojego osobistego udziału albo uprzedniego rozstrzygnięcia sądu rodzinnego. Sama pomoc finansowa nie usuwa braku osoby sprawującej nadzór przez pozostałą część doby.</w:t>
      </w:r>
    </w:p>
    <w:p>
      <w:pPr>
        <w:pStyle w:val="Pismo–treść"/>
        <w:spacing w:line="288" w:lineRule="auto" w:after="160"/>
        <w:ind w:firstLine="454"/>
        <w:jc w:val="both"/>
      </w:pPr>
      <w:r>
        <w:t>Na czas przerwy będę mieszkał z siostrą przy ul. Przykładowej 20/2 w Łodzi. W pierwszym tygodniu stawię się w ośrodku pomocy społecznej i sądzie rodzinnym, w ciągu dwóch tygodni skompletuję dokumentację medyczną i wniosek do placówki, a przed 15 stycznia 2027 r. zorganizuję przyjęcie siostry do domu pomocy społecznej. Po wykonaniu planu stawię się w jednostce w terminie wskazanym przez Sąd.</w:t>
      </w:r>
    </w:p>
    <w:p>
      <w:pPr>
        <w:pStyle w:val="Pismo–treść"/>
        <w:spacing w:line="288" w:lineRule="auto" w:after="160"/>
        <w:ind w:firstLine="454"/>
        <w:jc w:val="both"/>
      </w:pPr>
      <w:r>
        <w:t>W trakcie odbywania kary pracuję odpłatnie w zakładzie karnym, nie byłem karany dyscyplinarnie i utrzymuję regularny kontakt z wychowawcą. Okoliczności te nie zastępują ustawowej przesłanki, ale pokazują, że przedstawiony plan nie służy unikaniu kary. Wniosek dotyczy wyjątkowej, nagłej sytuacji i okresu odpowiadającego terminowi zapewnienia stałej opieki.</w:t>
      </w:r>
    </w:p>
    <w:p>
      <w:pPr>
        <w:pStyle w:val="Heading2"/>
      </w:pPr>
      <w:r>
        <w:t>Dowody i dokumenty</w:t>
      </w:r>
    </w:p>
    <w:p>
      <w:pPr>
        <w:pStyle w:val="Pismo–treść"/>
        <w:spacing w:line="276" w:lineRule="auto" w:after="80"/>
        <w:ind w:left="454" w:hanging="454"/>
        <w:jc w:val="both"/>
      </w:pPr>
      <w:r>
        <w:rPr>
          <w:b/>
        </w:rPr>
        <w:t xml:space="preserve">1.  </w:t>
      </w:r>
      <w:r>
        <w:t>postanowienie sądu rodzinnego o ustanowieniu Piotra Przykładowego opiekunem prawnym — na okoliczność zakresu obowiązków wobec siostry;</w:t>
      </w:r>
    </w:p>
    <w:p>
      <w:pPr>
        <w:pStyle w:val="Pismo–treść"/>
        <w:spacing w:line="276" w:lineRule="auto" w:after="80"/>
        <w:ind w:left="454" w:hanging="454"/>
        <w:jc w:val="both"/>
      </w:pPr>
      <w:r>
        <w:rPr>
          <w:b/>
        </w:rPr>
        <w:t xml:space="preserve">2.  </w:t>
      </w:r>
      <w:r>
        <w:t>orzeczenie o niepełnosprawności i aktualna dokumentacja medyczna Anny Przykładowej — na okoliczność zakresu wymaganej opieki;</w:t>
      </w:r>
    </w:p>
    <w:p>
      <w:pPr>
        <w:pStyle w:val="Pismo–treść"/>
        <w:spacing w:line="276" w:lineRule="auto" w:after="80"/>
        <w:ind w:left="454" w:hanging="454"/>
        <w:jc w:val="both"/>
      </w:pPr>
      <w:r>
        <w:rPr>
          <w:b/>
        </w:rPr>
        <w:t xml:space="preserve">3.  </w:t>
      </w:r>
      <w:r>
        <w:t>zaświadczenie szpitala dotyczące matki skazanego — na okoliczność udaru i braku możliwości dalszego sprawowania opieki;</w:t>
      </w:r>
    </w:p>
    <w:p>
      <w:pPr>
        <w:pStyle w:val="Pismo–treść"/>
        <w:spacing w:line="276" w:lineRule="auto" w:after="80"/>
        <w:ind w:left="454" w:hanging="454"/>
        <w:jc w:val="both"/>
      </w:pPr>
      <w:r>
        <w:rPr>
          <w:b/>
        </w:rPr>
        <w:t xml:space="preserve">4.  </w:t>
      </w:r>
      <w:r>
        <w:t>pismo ośrodka pomocy społecznej z 12 października 2026 r. — na okoliczność przyznanej pomocy i braku całodobowego zabezpieczenia;</w:t>
      </w:r>
    </w:p>
    <w:p>
      <w:pPr>
        <w:pStyle w:val="Pismo–treść"/>
        <w:spacing w:line="276" w:lineRule="auto" w:after="80"/>
        <w:ind w:left="454" w:hanging="454"/>
        <w:jc w:val="both"/>
      </w:pPr>
      <w:r>
        <w:rPr>
          <w:b/>
        </w:rPr>
        <w:t xml:space="preserve">5.  </w:t>
      </w:r>
      <w:r>
        <w:t>promesa domu pomocy społecznej z 19 października 2026 r. — na okoliczność terminu i warunków przyjęcia;</w:t>
      </w:r>
    </w:p>
    <w:p>
      <w:pPr>
        <w:pStyle w:val="Pismo–treść"/>
        <w:spacing w:line="276" w:lineRule="auto" w:after="80"/>
        <w:ind w:left="454" w:hanging="454"/>
        <w:jc w:val="both"/>
      </w:pPr>
      <w:r>
        <w:rPr>
          <w:b/>
        </w:rPr>
        <w:t xml:space="preserve">6.  </w:t>
      </w:r>
      <w:r>
        <w:t>opinia administracji zakładu karnego — na okoliczność przebiegu wykonywania kary.</w:t>
      </w:r>
    </w:p>
    <w:p>
      <w:pPr>
        <w:pStyle w:val="Pismo–treść"/>
        <w:spacing w:after="160"/>
        <w:jc w:val="both"/>
      </w:pPr>
      <w:r>
        <w:t>Wobec braku bieżącej opieki i istnienia konkretnego, ograniczonego w czasie planu jej zapewnienia wnoszę jak na wstępie.</w:t>
      </w:r>
    </w:p>
    <w:p>
      <w:pPr>
        <w:pStyle w:val="Pismo–treść"/>
        <w:spacing w:before="160"/>
        <w:jc w:val="right"/>
      </w:pPr>
      <w:r>
        <w:t>Piotr Przykładowy</w:t>
        <w:br/>
        <w:t>(podpis — przykład)</w:t>
      </w:r>
    </w:p>
    <w:p>
      <w:pPr>
        <w:pStyle w:val="Heading2"/>
        <w:keepNext/>
      </w:pPr>
      <w:r>
        <w:t>Załączniki</w:t>
      </w:r>
    </w:p>
    <w:p>
      <w:pPr>
        <w:pStyle w:val="Pismo–treść"/>
        <w:keepNext/>
        <w:spacing w:line="276" w:lineRule="auto" w:after="60"/>
        <w:ind w:left="454" w:hanging="454"/>
        <w:jc w:val="both"/>
      </w:pPr>
      <w:r>
        <w:rPr>
          <w:b/>
        </w:rPr>
        <w:t xml:space="preserve">1.  </w:t>
      </w:r>
      <w:r>
        <w:t>dokumenty wskazane w części „Dowody i dokumenty”;</w:t>
      </w:r>
    </w:p>
    <w:p>
      <w:pPr>
        <w:pStyle w:val="Pismo–treść"/>
        <w:keepNext/>
        <w:spacing w:line="276" w:lineRule="auto" w:after="60"/>
        <w:ind w:left="454" w:hanging="454"/>
        <w:jc w:val="both"/>
      </w:pPr>
      <w:r>
        <w:rPr>
          <w:b/>
        </w:rPr>
        <w:t xml:space="preserve">2.  </w:t>
      </w:r>
      <w:r>
        <w:t>dowód uiszczenia opłaty od wniosku;</w:t>
      </w:r>
    </w:p>
    <w:p>
      <w:pPr>
        <w:pStyle w:val="Pismo–treść"/>
        <w:spacing w:line="276" w:lineRule="auto" w:after="60"/>
        <w:ind w:left="454" w:hanging="454"/>
        <w:jc w:val="both"/>
      </w:pPr>
      <w:r>
        <w:rPr>
          <w:b/>
        </w:rPr>
        <w:t xml:space="preserve">3.  </w:t>
      </w:r>
      <w:r>
        <w:t>odpis wniosku z załącznikami.</w:t>
      </w:r>
    </w:p>
    <w:sectPr w:rsidR="00FC693F" w:rsidRPr="0006063C" w:rsidSect="00034616">
      <w:headerReference w:type="default" r:id="rId13"/>
      <w:footerReference w:type="default" r:id="rId14"/>
      <w:pgSz w:w="11906" w:h="16838"/>
      <w:pgMar w:top="964" w:right="1361" w:bottom="850" w:left="1361"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olor w:val="545E5D"/>
        <w:sz w:val="16"/>
      </w:rPr>
      <w:t xml:space="preserve">Materiał ogólny · stan prawny zweryfikowany 28 października 2026 r. · nie zastępuje analizy konkretnej sprawy  |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olor w:val="545E5D"/>
        <w:sz w:val="17"/>
      </w:rPr>
      <w:t xml:space="preserve">Usuń czerwone instrukcje przed złożeniem  |  </w:t>
    </w:r>
    <w:r>
      <w:fldChar w:fldCharType="begin"/>
      <w:instrText xml:space="preserve">PAGE</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Liberation Sans" w:hAnsi="Liberation Sans" w:eastAsia="Liberation Sans"/>
        <w:color w:val="545E5D"/>
        <w:sz w:val="16"/>
      </w:rPr>
      <w:t xml:space="preserve">Przykład pokazuje konstrukcję argumentacji — nie kopiuj go do innej sprawy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Bdr>
        <w:bottom w:val="single" w:sz="8" w:space="5" w:color="1F4B43"/>
      </w:pBdr>
    </w:pPr>
    <w:r>
      <w:rPr>
        <w:rFonts w:ascii="Liberation Sans" w:hAnsi="Liberation Sans" w:eastAsia="Liberation Sans"/>
        <w:b/>
        <w:color w:val="1F4B43"/>
        <w:sz w:val="16"/>
      </w:rPr>
      <w:t>KANCELARIA ADWOKACKA  ·  ADW. ANNA MARCINKOWSKA</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eastAsia="Liberation Sans"/>
        <w:b/>
        <w:color w:val="A62134"/>
        <w:sz w:val="17"/>
      </w:rPr>
      <w:t>WZÓR DO SAMODZIELNEGO UZUPEŁNIENIA · NIE SKŁADAJ PUSTEGO FORMULARZA</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eastAsia="Liberation Sans"/>
        <w:b/>
        <w:color w:val="A62134"/>
        <w:sz w:val="17"/>
      </w:rPr>
      <w:t>PRZYKŁAD WYPEŁNIENIA · DANE I SYGNATURY SĄ FIKCYJNE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74" w:lineRule="auto"/>
    </w:pPr>
    <w:rPr>
      <w:rFonts w:ascii="Liberation Serif" w:hAnsi="Liberation Serif" w:eastAsia="Liberation Serif"/>
      <w:color w:val="1C2323"/>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60"/>
      <w:outlineLvl w:val="0"/>
    </w:pPr>
    <w:rPr>
      <w:rFonts w:asciiTheme="majorHAnsi" w:eastAsiaTheme="majorEastAsia" w:hAnsiTheme="majorHAnsi" w:cstheme="majorBidi" w:ascii="Liberation Sans" w:hAnsi="Liberation Sans" w:eastAsia="Liberation Sans"/>
      <w:b/>
      <w:bCs/>
      <w:color w:val="1F4B43"/>
      <w:sz w:val="36"/>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Liberation Sans" w:hAnsi="Liberation Sans" w:eastAsia="Liberation Sans"/>
      <w:b/>
      <w:bCs/>
      <w:color w:val="7F2838"/>
      <w:sz w:val="29"/>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Liberation Sans" w:hAnsi="Liberation Sans" w:eastAsia="Liberation Sans"/>
      <w:b/>
      <w:bCs/>
      <w:color w:val="1F4B43"/>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pBdr>
        <w:bottom w:val="single" w:sz="8" w:space="4" w:color="4F81BD" w:themeColor="accent1"/>
      </w:pBdr>
      <w:spacing w:after="300" w:line="240" w:lineRule="auto" w:before="0"/>
      <w:contextualSpacing/>
    </w:pPr>
    <w:rPr>
      <w:rFonts w:asciiTheme="majorHAnsi" w:eastAsiaTheme="majorEastAsia" w:hAnsiTheme="majorHAnsi" w:cstheme="majorBidi" w:ascii="Liberation Sans" w:hAnsi="Liberation Sans" w:eastAsia="Liberation Sans"/>
      <w:b/>
      <w:color w:val="1F4B43"/>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nstrukcja–punkt">
    <w:name w:val="Instrukcja – punkt"/>
    <w:basedOn w:val="Normal"/>
    <w:pPr>
      <w:spacing w:after="80"/>
      <w:ind w:left="283" w:hanging="283"/>
    </w:pPr>
  </w:style>
  <w:style w:type="paragraph" w:customStyle="1" w:styleId="Pismo–treść">
    <w:name w:val="Pismo – treść"/>
    <w:basedOn w:val="Normal"/>
    <w:pPr>
      <w:spacing w:line="283" w:lineRule="auto" w:after="160"/>
    </w:pPr>
    <w:rPr>
      <w:sz w:val="24"/>
    </w:rPr>
  </w:style>
  <w:style w:type="paragraph" w:customStyle="1" w:styleId="Pismo–małe">
    <w:name w:val="Pismo – małe"/>
    <w:basedOn w:val="Normal"/>
    <w:rPr>
      <w:color w:val="545E5D"/>
      <w:sz w:val="22"/>
    </w:rPr>
  </w:style>
  <w:style w:type="paragraph" w:customStyle="1" w:styleId="Etykieta">
    <w:name w:val="Etykieta"/>
    <w:basedOn w:val="Normal"/>
    <w:pPr>
      <w:spacing w:after="60"/>
    </w:pPr>
    <w:rPr>
      <w:rFonts w:ascii="Liberation Sans" w:hAnsi="Liberation Sans" w:eastAsia="Liberation Sans"/>
      <w:b/>
      <w:color w:val="1F4B43"/>
      <w:sz w:val="19"/>
    </w:rPr>
  </w:style>
  <w:style w:type="paragraph" w:customStyle="1" w:styleId="Blok–odstęp">
    <w:name w:val="Blok – odstęp"/>
    <w:basedOn w:val="Normal"/>
    <w:pPr>
      <w:spacing w:lineRule="exact" w:line="20" w:before="170" w:after="170"/>
    </w:pPr>
    <w:rPr>
      <w:sz w:val="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o przerwę w wykonaniu kary pozbawienia wolności</dc:title>
  <dc:subject>Wzór pisma w postępowaniu wykonawczym z instrukcją</dc:subject>
  <dc:creator>Kancelaria Adwokacka adw. Anna Marcinkowska</dc:creator>
  <cp:keywords>postępowanie wykonawcze, KKW, wzór pisma, instrukcja</cp:keywords>
  <dc:description>generated by python-docx</dc:description>
  <cp:lastModifiedBy/>
  <cp:revision>1</cp:revision>
  <dcterms:created xsi:type="dcterms:W3CDTF">2013-12-23T23:15:00Z</dcterms:created>
  <dcterms:modified xsi:type="dcterms:W3CDTF">2013-12-23T23:15:00Z</dcterms:modified>
  <cp:category/>
</cp:coreProperties>
</file>