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tykieta"/>
      </w:pPr>
      <w:r>
        <w:t>PAKIET WZORÓW · POSTĘPOWANIE WYKONAWCZE</w:t>
      </w:r>
    </w:p>
    <w:p>
      <w:pPr>
        <w:pStyle w:val="Title"/>
      </w:pPr>
      <w:r>
        <w:t>Jak wybrać i poprawnie wypełnić pismo</w:t>
      </w:r>
    </w:p>
    <w:p>
      <w:pPr>
        <w:pStyle w:val="Pismo–treść"/>
      </w:pPr>
      <w:r>
        <w:rPr>
          <w:color w:val="545E5D"/>
        </w:rPr>
        <w:t>Przewodnik do 31 plików obejmujących karę pozbawienia wolności, warunkowe zwolnienie, dozór elektroniczny, grzywnę, ograniczenie wolności, środki karne i okres próby. Cztery najbardziej rozbudowane wnioski zawierają również kompletne przykłady oparte na fikcyjnych danych.</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F3EEE9"/>
            <w:tcMar>
              <w:top w:w="220" w:type="dxa"/>
              <w:start w:w="200" w:type="dxa"/>
              <w:bottom w:w="220" w:type="dxa"/>
              <w:end w:w="200" w:type="dxa"/>
            </w:tcMar>
          </w:tcPr>
          <w:p>
            <w:pPr>
              <w:spacing w:after="60"/>
            </w:pPr>
            <w:r>
              <w:rPr>
                <w:rFonts w:ascii="Liberation Sans" w:hAnsi="Liberation Sans" w:eastAsia="Liberation Sans"/>
                <w:b/>
                <w:color w:val="7F2838"/>
                <w:sz w:val="19"/>
              </w:rPr>
              <w:t>NAJWAŻNIEJSZA INSTRUKCJA</w:t>
            </w:r>
          </w:p>
          <w:p>
            <w:pPr>
              <w:spacing w:after="0" w:line="283" w:lineRule="auto"/>
            </w:pPr>
            <w:r>
              <w:t>Szablon nie jest gotowym pismem. Nie drukuj ani nie składaj dokumentu, w którym pozostały czerwone pola, warianty do wyboru albo przykładowe sformułowania. Sąd nie uzupełni za wnioskodawcę żądania, faktów, podpisu, sygnatury ani załączników.</w:t>
            </w:r>
          </w:p>
        </w:tc>
      </w:tr>
    </w:tbl>
    <w:p>
      <w:pPr>
        <w:pStyle w:val="Blok–odstęp"/>
      </w:pPr>
    </w:p>
    <w:p>
      <w:pPr>
        <w:pStyle w:val="Heading1"/>
      </w:pPr>
      <w:r>
        <w:t>Sześć kroków przed otwarciem wzoru</w:t>
      </w:r>
    </w:p>
    <w:p>
      <w:pPr>
        <w:pStyle w:val="Instrukcja–punkt"/>
      </w:pPr>
      <w:r>
        <w:rPr>
          <w:b/>
          <w:color w:val="7F2838"/>
        </w:rPr>
        <w:t xml:space="preserve">•  </w:t>
      </w:r>
      <w:r>
        <w:t>Przeczytaj ostatnie orzeczenie lub wezwanie i jego pouczenie od początku do końca.</w:t>
      </w:r>
    </w:p>
    <w:p>
      <w:pPr>
        <w:pStyle w:val="Instrukcja–punkt"/>
      </w:pPr>
      <w:r>
        <w:rPr>
          <w:b/>
          <w:color w:val="7F2838"/>
        </w:rPr>
        <w:t xml:space="preserve">•  </w:t>
      </w:r>
      <w:r>
        <w:t>Ustal etap: przed rozpoczęciem kary, w trakcie kary, w SDE, w okresie próby czy po wydaniu odmowy.</w:t>
      </w:r>
    </w:p>
    <w:p>
      <w:pPr>
        <w:pStyle w:val="Instrukcja–punkt"/>
      </w:pPr>
      <w:r>
        <w:rPr>
          <w:b/>
          <w:color w:val="7F2838"/>
        </w:rPr>
        <w:t xml:space="preserve">•  </w:t>
      </w:r>
      <w:r>
        <w:t>Zidentyfikuj organ, który wydał ostatnie rozstrzygnięcie, oraz organ właściwy dla nowego wniosku.</w:t>
      </w:r>
    </w:p>
    <w:p>
      <w:pPr>
        <w:pStyle w:val="Instrukcja–punkt"/>
      </w:pPr>
      <w:r>
        <w:rPr>
          <w:b/>
          <w:color w:val="7F2838"/>
        </w:rPr>
        <w:t xml:space="preserve">•  </w:t>
      </w:r>
      <w:r>
        <w:t>Zapisz wszystkie terminy, sygnatury, kwoty i daty na osobnej kartce; nie wpisuj ich z pamięci.</w:t>
      </w:r>
    </w:p>
    <w:p>
      <w:pPr>
        <w:pStyle w:val="Instrukcja–punkt"/>
      </w:pPr>
      <w:r>
        <w:rPr>
          <w:b/>
          <w:color w:val="7F2838"/>
        </w:rPr>
        <w:t xml:space="preserve">•  </w:t>
      </w:r>
      <w:r>
        <w:t>Wybierz jeden właściwy wzór lub jeden wariant w pliku. Nie składaj kilku sprzecznych wersji naraz.</w:t>
      </w:r>
    </w:p>
    <w:p>
      <w:pPr>
        <w:pStyle w:val="Instrukcja–punkt"/>
      </w:pPr>
      <w:r>
        <w:rPr>
          <w:b/>
          <w:color w:val="7F2838"/>
        </w:rPr>
        <w:t xml:space="preserve">•  </w:t>
      </w:r>
      <w:r>
        <w:t>Zbierz dowody, dopiero potem napisz uzasadnienie. Każdemu ważnemu faktowi przypisz dokument, osobę lub źródło.</w:t>
      </w:r>
    </w:p>
    <w:p>
      <w:pPr>
        <w:pStyle w:val="Heading1"/>
      </w:pPr>
      <w:r>
        <w:t>Sygnatura akt — co to jest i gdzie jej szukać</w:t>
      </w:r>
    </w:p>
    <w:p>
      <w:r>
        <w:t>Sygnatura jest oznaczeniem konkretnego postępowania. Znajduje się zwykle na pierwszej stronie pisma sądu lub prokuratury, obok nazwy wydziału albo w nagłówku. Może składać się z cyfry rzymskiej, liter, numeru i roku. Nie poprawiaj jej według własnego uznania i nie zastępuj numerem PESEL.</w:t>
      </w:r>
    </w:p>
    <w:p>
      <w:pPr>
        <w:pStyle w:val="Instrukcja–punkt"/>
      </w:pPr>
      <w:r>
        <w:rPr>
          <w:b/>
          <w:color w:val="7F2838"/>
        </w:rPr>
        <w:t xml:space="preserve">•  </w:t>
      </w:r>
      <w:r>
        <w:t>Sygnatura wyroku oznacza sprawę, w której orzeczono karę.</w:t>
      </w:r>
    </w:p>
    <w:p>
      <w:pPr>
        <w:pStyle w:val="Instrukcja–punkt"/>
      </w:pPr>
      <w:r>
        <w:rPr>
          <w:b/>
          <w:color w:val="7F2838"/>
        </w:rPr>
        <w:t xml:space="preserve">•  </w:t>
      </w:r>
      <w:r>
        <w:t>Sygnatura wykonawcza może zostać nadana później i może być inna. Jeżeli znasz obie — wpisz obie.</w:t>
      </w:r>
    </w:p>
    <w:p>
      <w:pPr>
        <w:pStyle w:val="Instrukcja–punkt"/>
      </w:pPr>
      <w:r>
        <w:rPr>
          <w:b/>
          <w:color w:val="7F2838"/>
        </w:rPr>
        <w:t xml:space="preserve">•  </w:t>
      </w:r>
      <w:r>
        <w:t>Sygnatura penitencjarna dotyczy postępowania w sądzie okręgowym, np. o przerwę, WPZ lub SDE.</w:t>
      </w:r>
    </w:p>
    <w:p>
      <w:pPr>
        <w:pStyle w:val="Instrukcja–punkt"/>
      </w:pPr>
      <w:r>
        <w:rPr>
          <w:b/>
          <w:color w:val="7F2838"/>
        </w:rPr>
        <w:t xml:space="preserve">•  </w:t>
      </w:r>
      <w:r>
        <w:t>Sygnatura prokuratorska dotyczy postępowania przygotowawczego. Po skierowaniu aktu oskarżenia najważniejsza staje się sygnatura sądowa.</w:t>
      </w:r>
    </w:p>
    <w:p>
      <w:pPr>
        <w:pStyle w:val="Instrukcja–punkt"/>
      </w:pPr>
      <w:r>
        <w:rPr>
          <w:b/>
          <w:color w:val="7F2838"/>
        </w:rPr>
        <w:t xml:space="preserve">•  </w:t>
      </w:r>
      <w:r>
        <w:t>Przykładowe oznaczenia mogą wyglądać jak „II K 123/25”, „VIII Ko 456/26”, „V Kow 789/26” albo — w prokuraturze — zawierać skrót „Ds.”. To tylko przykłady budowy sygnatury; zawsze przepisz oznaczenie z własnego pisma znak po znaku.</w:t>
      </w:r>
    </w:p>
    <w:p>
      <w:pPr>
        <w:pStyle w:val="Instrukcja–punkt"/>
      </w:pPr>
      <w:r>
        <w:rPr>
          <w:b/>
          <w:color w:val="7F2838"/>
        </w:rPr>
        <w:t xml:space="preserve">•  </w:t>
      </w:r>
      <w:r>
        <w:t>Numer policyjny, numer RSD, numer na kopercie i sygnatura prokuratorska nie są tym samym. Jeżeli masz jedynie dokument Policji, zapytaj jednostkę Policji, która prokuratura nadzoruje postępowanie i pod jaką sygnaturą prokuratorską.</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EAF2EF"/>
            <w:tcMar>
              <w:top w:w="220" w:type="dxa"/>
              <w:start w:w="200" w:type="dxa"/>
              <w:bottom w:w="220" w:type="dxa"/>
              <w:end w:w="200" w:type="dxa"/>
            </w:tcMar>
          </w:tcPr>
          <w:p>
            <w:pPr>
              <w:spacing w:after="60"/>
            </w:pPr>
            <w:r>
              <w:rPr>
                <w:rFonts w:ascii="Liberation Sans" w:hAnsi="Liberation Sans" w:eastAsia="Liberation Sans"/>
                <w:b/>
                <w:color w:val="1F4B43"/>
                <w:sz w:val="19"/>
              </w:rPr>
              <w:t>GDY NIE ZNASZ SYGNATURY</w:t>
            </w:r>
          </w:p>
          <w:p>
            <w:pPr>
              <w:spacing w:after="0" w:line="283" w:lineRule="auto"/>
            </w:pPr>
            <w:r>
              <w:t>Zadzwoń do Biura Obsługi Interesanta lub sekretariatu właściwego wydziału. Przygotuj imię i nazwisko, PESEL, datę i sygnaturę wyroku oraz datę ostatniego pisma. Zapytaj wyłącznie o to, gdzie są akta, jaka jest aktualna sygnatura i dokąd należy adresować korespondencję w danym postępowaniu.</w:t>
            </w:r>
          </w:p>
        </w:tc>
      </w:tr>
    </w:tbl>
    <w:p>
      <w:pPr>
        <w:pStyle w:val="Blok–odstęp"/>
      </w:pPr>
    </w:p>
    <w:p>
      <w:pPr>
        <w:pStyle w:val="Heading1"/>
      </w:pPr>
      <w:r>
        <w:t>Jak ustalić właściwy sąd, prokuraturę i prokuratora</w:t>
      </w:r>
    </w:p>
    <w:p>
      <w:pPr>
        <w:pStyle w:val="Instrukcja–punkt"/>
      </w:pPr>
      <w:r>
        <w:rPr>
          <w:b/>
          <w:color w:val="7F2838"/>
        </w:rPr>
        <w:t xml:space="preserve">•  </w:t>
      </w:r>
      <w:r>
        <w:t>Zacznij od ostatniego pisma i pouczenia. Nazwa sądu, wydział i adres powinny zostać przepisane dokładnie.</w:t>
      </w:r>
    </w:p>
    <w:p>
      <w:pPr>
        <w:pStyle w:val="Instrukcja–punkt"/>
      </w:pPr>
      <w:r>
        <w:rPr>
          <w:b/>
          <w:color w:val="7F2838"/>
        </w:rPr>
        <w:t xml:space="preserve">•  </w:t>
      </w:r>
      <w:r>
        <w:t>W wielu sprawach wykonawczych działa sąd, który wydał wyrok w pierwszej instancji. Sprawy penitencjarne należą jednak zwykle do wydziału penitencjarnego sądu okręgowego właściwego według miejsca osadzenia albo innego ustawowego łącznika.</w:t>
      </w:r>
    </w:p>
    <w:p>
      <w:pPr>
        <w:pStyle w:val="Instrukcja–punkt"/>
      </w:pPr>
      <w:r>
        <w:rPr>
          <w:b/>
          <w:color w:val="7F2838"/>
        </w:rPr>
        <w:t xml:space="preserve">•  </w:t>
      </w:r>
      <w:r>
        <w:t>Jeżeli wyrok wydał sąd odwoławczy, nie zakładaj automatycznie, że to on prowadzi wykonanie. Sprawdź, który sąd był sądem pierwszej instancji i gdzie założono akta wykonawcze.</w:t>
      </w:r>
    </w:p>
    <w:p>
      <w:pPr>
        <w:pStyle w:val="Instrukcja–punkt"/>
      </w:pPr>
      <w:r>
        <w:rPr>
          <w:b/>
          <w:color w:val="7F2838"/>
        </w:rPr>
        <w:t xml:space="preserve">•  </w:t>
      </w:r>
      <w:r>
        <w:t>Prokuratura zwykle nie jest adresatem wniosku o odroczenie, przerwę, WPZ czy SDE. Prokurator może uczestniczyć w posiedzeniu, ale nie oznacza to, że pismo kieruje się do konkretnego prokuratora.</w:t>
      </w:r>
    </w:p>
    <w:p>
      <w:pPr>
        <w:pStyle w:val="Instrukcja–punkt"/>
      </w:pPr>
      <w:r>
        <w:rPr>
          <w:b/>
          <w:color w:val="7F2838"/>
        </w:rPr>
        <w:t xml:space="preserve">•  </w:t>
      </w:r>
      <w:r>
        <w:t>Jeżeli pismo rzeczywiście trafia do prokuratury, wpisz pełną nazwę jednostki i sygnaturę. Nazwisko prokuratora wpisuj tylko wtedy, gdy wynika z aktualnej korespondencji; zmiana referenta nie może unieważniać adresowania do jednostki.</w:t>
      </w:r>
    </w:p>
    <w:p>
      <w:pPr>
        <w:pStyle w:val="Instrukcja–punkt"/>
      </w:pPr>
      <w:r>
        <w:rPr>
          <w:b/>
          <w:color w:val="7F2838"/>
        </w:rPr>
        <w:t xml:space="preserve">•  </w:t>
      </w:r>
      <w:r>
        <w:t>Jeżeli nie masz żadnego pisma z prokuratury, zacznij od jednostki Policji prowadzącej czynności albo od prokuratury wskazanej w protokole, wezwaniu lub pouczeniu. Nie wybieraj jednostki wyłącznie według miejsca zamieszkania.</w:t>
      </w:r>
    </w:p>
    <w:p>
      <w:pPr>
        <w:pStyle w:val="Instrukcja–punkt"/>
      </w:pPr>
      <w:r>
        <w:rPr>
          <w:b/>
          <w:color w:val="7F2838"/>
        </w:rPr>
        <w:t xml:space="preserve">•  </w:t>
      </w:r>
      <w:r>
        <w:t>Sekretariat może podać dane organizacyjne, ale nie wybierze podstawy prawnej ani nie oceni szans wniosku.</w:t>
      </w:r>
    </w:p>
    <w:p>
      <w:pPr>
        <w:pStyle w:val="Heading1"/>
      </w:pPr>
      <w:r>
        <w:t>Jak napisać uzasadnienie bez pustych ogólników</w:t>
      </w:r>
    </w:p>
    <w:p>
      <w:pPr>
        <w:pStyle w:val="Instrukcja–punkt"/>
      </w:pPr>
      <w:r>
        <w:rPr>
          <w:b/>
          <w:color w:val="7F2838"/>
        </w:rPr>
        <w:t xml:space="preserve">•  </w:t>
      </w:r>
      <w:r>
        <w:t>Zacznij od chronologii: co, kiedy, gdzie i na podstawie jakiego dokumentu się wydarzyło.</w:t>
      </w:r>
    </w:p>
    <w:p>
      <w:pPr>
        <w:pStyle w:val="Instrukcja–punkt"/>
      </w:pPr>
      <w:r>
        <w:rPr>
          <w:b/>
          <w:color w:val="7F2838"/>
        </w:rPr>
        <w:t xml:space="preserve">•  </w:t>
      </w:r>
      <w:r>
        <w:t>Następnie nazwij przesłankę ustawową i wyjaśnij, które fakty ją spełniają.</w:t>
      </w:r>
    </w:p>
    <w:p>
      <w:pPr>
        <w:pStyle w:val="Instrukcja–punkt"/>
      </w:pPr>
      <w:r>
        <w:rPr>
          <w:b/>
          <w:color w:val="7F2838"/>
        </w:rPr>
        <w:t xml:space="preserve">•  </w:t>
      </w:r>
      <w:r>
        <w:t>Opisz rozwiązania, które już sprawdzono, i dlaczego nie wystarczają. To ważne zwłaszcza przy odroczeniu, przerwie i zmianie sposobu wykonania.</w:t>
      </w:r>
    </w:p>
    <w:p>
      <w:pPr>
        <w:pStyle w:val="Instrukcja–punkt"/>
      </w:pPr>
      <w:r>
        <w:rPr>
          <w:b/>
          <w:color w:val="7F2838"/>
        </w:rPr>
        <w:t xml:space="preserve">•  </w:t>
      </w:r>
      <w:r>
        <w:t>Zakończ konkretnym planem: okres, miejsce, harmonogram, osoby odpowiedzialne i sposób kontroli.</w:t>
      </w:r>
    </w:p>
    <w:p>
      <w:pPr>
        <w:pStyle w:val="Instrukcja–punkt"/>
      </w:pPr>
      <w:r>
        <w:rPr>
          <w:b/>
          <w:color w:val="7F2838"/>
        </w:rPr>
        <w:t xml:space="preserve">•  </w:t>
      </w:r>
      <w:r>
        <w:t>Nie pisz, że sytuacja jest „bardzo trudna”, bez opisania mierzalnego skutku. Nie powołuj choroby bez aktualnej dokumentacji i wpływu na wykonanie kary.</w:t>
      </w:r>
    </w:p>
    <w:p>
      <w:pPr>
        <w:pStyle w:val="Instrukcja–punkt"/>
      </w:pPr>
      <w:r>
        <w:rPr>
          <w:b/>
          <w:color w:val="7F2838"/>
        </w:rPr>
        <w:t xml:space="preserve">•  </w:t>
      </w:r>
      <w:r>
        <w:t>Nie kopiuj cudzej historii. Niespójność z aktami obniża wiarygodność, a dokument nieprawdziwy może rodzić odpowiedzialność.</w:t>
      </w:r>
    </w:p>
    <w:p>
      <w:pPr>
        <w:pStyle w:val="Heading1"/>
      </w:pPr>
      <w:r>
        <w:t>Terminy i doręczenia</w:t>
      </w:r>
    </w:p>
    <w:p>
      <w:r>
        <w:t>Datą, od której liczy się termin, nie zawsze jest data wydania orzeczenia. Może nią być ogłoszenie albo doręczenie. Zachowaj kopertę, urzędowe poświadczenie odbioru lub informację z systemu doręczeń. Jeżeli pouczenie i fakty nie dają pewności, przyjmij krótszy wariant i nie czekaj do ostatniego dnia.</w:t>
      </w:r>
    </w:p>
    <w:p>
      <w:pPr>
        <w:pStyle w:val="Instrukcja–punkt"/>
      </w:pPr>
      <w:r>
        <w:rPr>
          <w:b/>
          <w:color w:val="7F2838"/>
        </w:rPr>
        <w:t xml:space="preserve">•  </w:t>
      </w:r>
      <w:r>
        <w:t>Osobiście: złóż w biurze podawczym i uzyskaj datownik na własnej kopii.</w:t>
      </w:r>
    </w:p>
    <w:p>
      <w:pPr>
        <w:pStyle w:val="Instrukcja–punkt"/>
      </w:pPr>
      <w:r>
        <w:rPr>
          <w:b/>
          <w:color w:val="7F2838"/>
        </w:rPr>
        <w:t xml:space="preserve">•  </w:t>
      </w:r>
      <w:r>
        <w:t>Pocztą: zachowaj dowód nadania; sposób zachowania terminu zależy od przepisów, operatora i rodzaju pisma.</w:t>
      </w:r>
    </w:p>
    <w:p>
      <w:pPr>
        <w:pStyle w:val="Instrukcja–punkt"/>
      </w:pPr>
      <w:r>
        <w:rPr>
          <w:b/>
          <w:color w:val="7F2838"/>
        </w:rPr>
        <w:t xml:space="preserve">•  </w:t>
      </w:r>
      <w:r>
        <w:t>Z jednostki penitencjarnej: przekaż pismo administracji zgodnie z procedurą i uzyskaj potwierdzenie.</w:t>
      </w:r>
    </w:p>
    <w:p>
      <w:pPr>
        <w:pStyle w:val="Instrukcja–punkt"/>
      </w:pPr>
      <w:r>
        <w:rPr>
          <w:b/>
          <w:color w:val="7F2838"/>
        </w:rPr>
        <w:t xml:space="preserve">•  </w:t>
      </w:r>
      <w:r>
        <w:t>Elektronicznie: używaj wyłącznie kanału prawnie dopuszczalnego dla danego pisma. Zwykły e-mail do sekretariatu co do zasady nie zastępuje skutecznego wniesienia pisma.</w:t>
      </w:r>
    </w:p>
    <w:p>
      <w:pPr>
        <w:pStyle w:val="Heading1"/>
      </w:pPr>
      <w:r>
        <w:t>Co dzieje się po złożeniu pisma</w:t>
      </w:r>
    </w:p>
    <w:p>
      <w:pPr>
        <w:pStyle w:val="Instrukcja–punkt"/>
      </w:pPr>
      <w:r>
        <w:rPr>
          <w:b/>
          <w:color w:val="7F2838"/>
        </w:rPr>
        <w:t xml:space="preserve">•  </w:t>
      </w:r>
      <w:r>
        <w:t>Potwierdzenie wpływu oznacza tylko, że pismo dotarło. Nie oznacza uwzględnienia wniosku ani wstrzymania wykonania kary lub orzeczenia.</w:t>
      </w:r>
    </w:p>
    <w:p>
      <w:pPr>
        <w:pStyle w:val="Instrukcja–punkt"/>
      </w:pPr>
      <w:r>
        <w:rPr>
          <w:b/>
          <w:color w:val="7F2838"/>
        </w:rPr>
        <w:t xml:space="preserve">•  </w:t>
      </w:r>
      <w:r>
        <w:t>Sąd może najpierw sprawdzić podpis, opłatę, odpisy, umocowanie i inne wymagania formalne. Jeżeli otrzymasz wezwanie do uzupełnienia braków, przeczytaj je w całości, zanotuj termin i wykonaj dokładnie wszystkie wskazane czynności.</w:t>
      </w:r>
    </w:p>
    <w:p>
      <w:pPr>
        <w:pStyle w:val="Instrukcja–punkt"/>
      </w:pPr>
      <w:r>
        <w:rPr>
          <w:b/>
          <w:color w:val="7F2838"/>
        </w:rPr>
        <w:t xml:space="preserve">•  </w:t>
      </w:r>
      <w:r>
        <w:t>W zależności od rodzaju sprawy sąd może zarządzić posiedzenie, zażądać akt, opinii zakładu karnego, informacji kuratora, dokumentacji medycznej albo stanowiska prokuratora. Nie wysyłaj ponownie tego samego pisma tylko dlatego, że przez kilka dni nie ma odpowiedzi.</w:t>
      </w:r>
    </w:p>
    <w:p>
      <w:pPr>
        <w:pStyle w:val="Instrukcja–punkt"/>
      </w:pPr>
      <w:r>
        <w:rPr>
          <w:b/>
          <w:color w:val="7F2838"/>
        </w:rPr>
        <w:t xml:space="preserve">•  </w:t>
      </w:r>
      <w:r>
        <w:t>Odbieraj korespondencję pod wskazanym adresem. Zmianę adresu zgłoś właściwemu organowi niezwłocznie; nieodebranie pisma może nie zatrzymać biegu terminów.</w:t>
      </w:r>
    </w:p>
    <w:p>
      <w:pPr>
        <w:pStyle w:val="Instrukcja–punkt"/>
      </w:pPr>
      <w:r>
        <w:rPr>
          <w:b/>
          <w:color w:val="7F2838"/>
        </w:rPr>
        <w:t xml:space="preserve">•  </w:t>
      </w:r>
      <w:r>
        <w:t>Po otrzymaniu postanowienia zapisz osobno datę ogłoszenia i datę doręczenia, przeczytaj uzasadnienie oraz pouczenie. Nie zakładaj, że każdy niekorzystny dokument można zaskarżyć w ten sam sposób.</w:t>
      </w:r>
    </w:p>
    <w:p>
      <w:pPr>
        <w:pStyle w:val="Instrukcja–punkt"/>
      </w:pPr>
      <w:r>
        <w:rPr>
          <w:b/>
          <w:color w:val="7F2838"/>
        </w:rPr>
        <w:t xml:space="preserve">•  </w:t>
      </w:r>
      <w:r>
        <w:t>Jeżeli termin osadzenia, zatrzymania, posiedzenia albo zaskarżenia zbliża się przed rozpoznaniem wniosku, nie czekaj biernie. Sam wniosek co do zasady nie wstrzymuje wykonania; ewentualne wstrzymanie wymaga właściwej podstawy i decyzji organu.</w:t>
      </w:r>
    </w:p>
    <w:p>
      <w:pPr>
        <w:pStyle w:val="Heading1"/>
      </w:pPr>
      <w:r>
        <w:t>Załączniki, odpisy i dane wrażliwe</w:t>
      </w:r>
    </w:p>
    <w:p>
      <w:pPr>
        <w:pStyle w:val="Instrukcja–punkt"/>
      </w:pPr>
      <w:r>
        <w:rPr>
          <w:b/>
          <w:color w:val="7F2838"/>
        </w:rPr>
        <w:t xml:space="preserve">•  </w:t>
      </w:r>
      <w:r>
        <w:t>Ponumeruj załączniki w tej samej kolejności, w której są opisane w piśmie.</w:t>
      </w:r>
    </w:p>
    <w:p>
      <w:pPr>
        <w:pStyle w:val="Instrukcja–punkt"/>
      </w:pPr>
      <w:r>
        <w:rPr>
          <w:b/>
          <w:color w:val="7F2838"/>
        </w:rPr>
        <w:t xml:space="preserve">•  </w:t>
      </w:r>
      <w:r>
        <w:t>Na kopii dokumentu nie pisz „za zgodność z oryginałem”, jeżeli nie masz uprawnienia do poświadczania w danym charakterze. Zwykła kopia może wystarczyć na początku, ale sąd może zażądać oryginału lub odpisu właściwie poświadczonego.</w:t>
      </w:r>
    </w:p>
    <w:p>
      <w:pPr>
        <w:pStyle w:val="Instrukcja–punkt"/>
      </w:pPr>
      <w:r>
        <w:rPr>
          <w:b/>
          <w:color w:val="7F2838"/>
        </w:rPr>
        <w:t xml:space="preserve">•  </w:t>
      </w:r>
      <w:r>
        <w:t>Dołącz tylko strony istotne, ale nie wyrywaj fragmentu z kontekstu. Przy dokumentacji medycznej wybierz zakres potrzebny do oceny przesłanki.</w:t>
      </w:r>
    </w:p>
    <w:p>
      <w:pPr>
        <w:pStyle w:val="Instrukcja–punkt"/>
      </w:pPr>
      <w:r>
        <w:rPr>
          <w:b/>
          <w:color w:val="7F2838"/>
        </w:rPr>
        <w:t xml:space="preserve">•  </w:t>
      </w:r>
      <w:r>
        <w:t>Zakrycie danych osób trzecich może być zasadne tylko wtedy, gdy dane nie są potrzebne. Nie anonimizuj informacji koniecznych do identyfikacji dowodu.</w:t>
      </w:r>
    </w:p>
    <w:p>
      <w:pPr>
        <w:pStyle w:val="Instrukcja–punkt"/>
      </w:pPr>
      <w:r>
        <w:rPr>
          <w:b/>
          <w:color w:val="7F2838"/>
        </w:rPr>
        <w:t xml:space="preserve">•  </w:t>
      </w:r>
      <w:r>
        <w:t>Przygotuj kopię całego kompletu dla siebie. Na kopii zapisz datę i sposób złożenia.</w:t>
      </w:r>
    </w:p>
    <w:p>
      <w:pPr>
        <w:pStyle w:val="Heading1"/>
      </w:pPr>
      <w:r>
        <w:t>Katalog dokumentów</w:t>
      </w:r>
    </w:p>
    <w:p>
      <w:pPr>
        <w:pStyle w:val="Blok–odstęp"/>
      </w:pPr>
    </w:p>
    <w:tbl>
      <w:tblPr>
        <w:tblW w:type="auto" w:w="0"/>
        <w:jc w:val="center"/>
        <w:tblLayout w:type="fixed"/>
        <w:tblLook w:firstColumn="1" w:firstRow="1" w:lastColumn="0" w:lastRow="0" w:noHBand="0" w:noVBand="1" w:val="04A0"/>
      </w:tblPr>
      <w:tblGrid>
        <w:gridCol w:w="1882"/>
        <w:gridCol w:w="1882"/>
        <w:gridCol w:w="1882"/>
        <w:gridCol w:w="1882"/>
        <w:gridCol w:w="1882"/>
      </w:tblGrid>
      <w:tr>
        <w:trPr>
          <w:tblHeader w:val="true"/>
          <w:cantSplit/>
        </w:trPr>
        <w:tc>
          <w:tcPr>
            <w:tcW w:type="dxa" w:w="567"/>
            <w:shd w:fill="1F4B43"/>
            <w:tcMar>
              <w:top w:w="110" w:type="dxa"/>
              <w:start w:w="100" w:type="dxa"/>
              <w:bottom w:w="110" w:type="dxa"/>
              <w:end w:w="100" w:type="dxa"/>
            </w:tcMar>
          </w:tcPr>
          <w:p>
            <w:pPr>
              <w:spacing w:after="0"/>
            </w:pPr>
            <w:r>
              <w:rPr>
                <w:rFonts w:ascii="Liberation Sans" w:hAnsi="Liberation Sans" w:eastAsia="Liberation Sans"/>
                <w:b/>
                <w:color w:val="FFFFFF"/>
                <w:sz w:val="19"/>
              </w:rPr>
              <w:t>Nr</w:t>
            </w:r>
          </w:p>
        </w:tc>
        <w:tc>
          <w:tcPr>
            <w:tcW w:type="dxa" w:w="3175"/>
            <w:shd w:fill="1F4B43"/>
            <w:tcMar>
              <w:top w:w="110" w:type="dxa"/>
              <w:start w:w="100" w:type="dxa"/>
              <w:bottom w:w="110" w:type="dxa"/>
              <w:end w:w="100" w:type="dxa"/>
            </w:tcMar>
          </w:tcPr>
          <w:p>
            <w:pPr>
              <w:spacing w:after="0"/>
            </w:pPr>
            <w:r>
              <w:rPr>
                <w:rFonts w:ascii="Liberation Sans" w:hAnsi="Liberation Sans" w:eastAsia="Liberation Sans"/>
                <w:b/>
                <w:color w:val="FFFFFF"/>
                <w:sz w:val="19"/>
              </w:rPr>
              <w:t>Dokument</w:t>
            </w:r>
          </w:p>
        </w:tc>
        <w:tc>
          <w:tcPr>
            <w:tcW w:type="dxa" w:w="2438"/>
            <w:shd w:fill="1F4B43"/>
            <w:tcMar>
              <w:top w:w="110" w:type="dxa"/>
              <w:start w:w="100" w:type="dxa"/>
              <w:bottom w:w="110" w:type="dxa"/>
              <w:end w:w="100" w:type="dxa"/>
            </w:tcMar>
          </w:tcPr>
          <w:p>
            <w:pPr>
              <w:spacing w:after="0"/>
            </w:pPr>
            <w:r>
              <w:rPr>
                <w:rFonts w:ascii="Liberation Sans" w:hAnsi="Liberation Sans" w:eastAsia="Liberation Sans"/>
                <w:b/>
                <w:color w:val="FFFFFF"/>
                <w:sz w:val="19"/>
              </w:rPr>
              <w:t>Adresat</w:t>
            </w:r>
          </w:p>
        </w:tc>
        <w:tc>
          <w:tcPr>
            <w:tcW w:type="dxa" w:w="1757"/>
            <w:shd w:fill="1F4B43"/>
            <w:tcMar>
              <w:top w:w="110" w:type="dxa"/>
              <w:start w:w="100" w:type="dxa"/>
              <w:bottom w:w="110" w:type="dxa"/>
              <w:end w:w="100" w:type="dxa"/>
            </w:tcMar>
          </w:tcPr>
          <w:p>
            <w:pPr>
              <w:spacing w:after="0"/>
            </w:pPr>
            <w:r>
              <w:rPr>
                <w:rFonts w:ascii="Liberation Sans" w:hAnsi="Liberation Sans" w:eastAsia="Liberation Sans"/>
                <w:b/>
                <w:color w:val="FFFFFF"/>
                <w:sz w:val="19"/>
              </w:rPr>
              <w:t>Termin</w:t>
            </w:r>
          </w:p>
        </w:tc>
        <w:tc>
          <w:tcPr>
            <w:tcW w:type="dxa" w:w="1474"/>
            <w:shd w:fill="1F4B43"/>
            <w:tcMar>
              <w:top w:w="110" w:type="dxa"/>
              <w:start w:w="100" w:type="dxa"/>
              <w:bottom w:w="110" w:type="dxa"/>
              <w:end w:w="100" w:type="dxa"/>
            </w:tcMar>
          </w:tcPr>
          <w:p>
            <w:pPr>
              <w:spacing w:after="0"/>
            </w:pPr>
            <w:r>
              <w:rPr>
                <w:rFonts w:ascii="Liberation Sans" w:hAnsi="Liberation Sans" w:eastAsia="Liberation Sans"/>
                <w:b/>
                <w:color w:val="FFFFFF"/>
                <w:sz w:val="19"/>
              </w:rPr>
              <w:t>Opłata</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01</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odroczenie wykonania kary pozbawienia wolności</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właściwy w postępowaniu wykonawczym, co do zasady sąd I instancji</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przed rozpoczęciem wykonywania kary; wniosek złożony zbyt późno może nie zostać rozpoznany przed osadzeniem</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80 zł</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02</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o wezwanie do stawienia się w areszcie śledczym</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kierujący orzeczenie do wykonania</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niezwłocznie po uzyskaniu informacji o skierowaniu kary do wykonania</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 wskazanej dla tego wniosku</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03</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wstrzymanie wykonania orzeczenia</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rozpoznający wniosek główny albo właściwy sąd wykonawczy</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łącznie z wnioskiem głównym albo niezwłocznie po jego wniesieniu</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co do zasady brak odrębnej opłaty; opłata może dotyczyć wniosku głównego</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04</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Zażalenie na odmowę odroczenia wykonania kary</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odwoławczy, za pośrednictwem sądu, który wydał postanowienie</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co do zasady 7 dni od ogłoszenia, a gdy ustawa przewiduje doręczenie — od doręczenia postanowienia</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 od zażalenia wskazanej w ustawie o opłatach w sprawach karnych</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05</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przerwę w wykonaniu kary pozbawienia wolności</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penitencjarny właściwy dla zakładu karnego</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w czasie wykonywania kary; dokumenty powinny być aktualne</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60 zł</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06</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o dalszą przerwę w wykonaniu kary</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penitencjarny, który udzielił pierwszej przerwy</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odpowiednio wcześnie przed końcem aktualnej przerwy</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ustawa wskazuje 60 zł od wniosku o udzielenie przerwy; sposób pobrania przy dalszej przerwie potwierdź w sądzie</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07</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Zażalenie dotyczące przerwy w wykonaniu kary</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właściwy sąd odwoławczy, za pośrednictwem sądu penitencjarnego</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co do zasady 7 dni — sprawdź pouczenie i sposób ogłoszenia lub doręczenia</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odrębnej opłaty wskazanej dla zażalenia</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08</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o warunkowe przedterminowe zwolnienie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penitencjarny właściwy dla miejsca osadzenia</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po osiągnięciu ustawowego minimum; datę trzeba obliczyć z akt wykonawczych</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45 zł</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09</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Zażalenie na odmowę warunkowego przedterminowego zwolnienia</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apelacyjny za pośrednictwem sądu penitencjarnego</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co do zasady 7 dni; sprawdź pouczenie</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odrębnej opłaty wskazanej dla zażalenia</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10</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Warunkowe zwolnienie po co najmniej rocznej przerwie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penitencjarny</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po spełnieniu łącznie warunków ustawowych</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100 zł</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11</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Prośba o czasowe opuszczenie zakładu karnego</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dyrektor zakładu karnego</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niezwłocznie po uzyskaniu informacji o zdarzeniu; wskaż jego datę</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12</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Skarga na decyzję organu postępowania wykonawczego</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właściwy sąd; skargę wnosi się za pośrednictwem organu, który wydał decyzję</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7 dni od ogłoszenia albo doręczenia decyzji</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13</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rozstrzygnięcie wątpliwości lub zarzutów co do obliczenia kary</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który wydał orzeczenie</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bez ustawowego terminu, ale niezwłocznie po ujawnieniu wątpliwości</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14</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o odbywanie kary w systemie dozoru elektronicznego</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penitencjarny właściwy dla miejsca stałego pobytu; w szczególnym wariancie osoby już osadzonej — komisja penitencjarna</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możliwie wcześnie; samo złożenie nie wstrzymuje osadzenia</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15</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Zgoda pełnoletniego współmieszkańca na wykonywanie SDE</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załącznik do wniosku o SDE</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dołączyć do wniosku; zgoda może być również uzyskiwana w toku postępowania w sytuacjach ustawowych</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16</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Harmonogram SDE i lista miejsc poza lokalem</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załącznik do wniosku o SDE</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dołączyć do wniosku; aktualizować, jeżeli plan zmienił się przed rozpoznaniem</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17</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Zmiana miejsca, harmonogramu albo obowiązków w SDE</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penitencjarny; przy pilnej zmianie godzin — sądowy kurator zawodowy w granicach art. 43o § 4 KKW</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przed zmianą; w przypadkach nagłych — niezwłocznie</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18</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do kuratora o czasowe opuszczenie miejsca SDE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sądowy kurator zawodowy prowadzący dozór</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przed planowanym wyjściem; w sytuacji nagłej — natychmiastowy kontakt z kuratorem i służbami</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19</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przerwę w wykonywaniu kary w SDE</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penitencjarny</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przed potrzebną przerwą; przy nagłym zagrożeniu zdrowia stosuje się art. 43r</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20</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Środek zaskarżenia po odmowie SDE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odwoławczy za pośrednictwem sądu penitencjarnego albo sąd penitencjarny za pośrednictwem komisji</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dla zażalenia co do zasady 7 dni; dla skargi na decyzję komisji — 7 dni</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21</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Postępowanie o uchylenie zezwolenia na SDE</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penitencjarny; po uchyleniu — sąd odwoławczy za pośrednictwem sądu penitencjarnego</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stanowisko — niezwłocznie; zażalenie — co do zasady 7 dni według pouczenia</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22</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Wniosek o rozłożenie grzywny na raty</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wykonujący orzeczenie o grzywnie</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najlepiej przed upływem terminu płatności; możliwe także później zależnie od stanu wykonania</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pierwszy wniosek — brak opłaty z art. 15; ponowny: 2% kwoty objętej wnioskiem, nie mniej niż 25 zł</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23</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Wniosek o umorzenie grzywny</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wykonujący orzeczenie o grzywnie</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po powstaniu i udokumentowaniu przesłanek; uwzględnij aktualny etap egzekucji</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 wskazanej dla tego wniosku</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24</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Koszty sądowe — raty albo umorzenie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wykonujący należności sądowe</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najlepiej przed egzekucją; wezwanie przewiduje co do zasady 30 dni na zapłatę</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odrębnej opłaty wskazanej dla pierwszego wniosku o raty/umorzenie kosztów</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25</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Odroczenie albo przerwa w karze ograniczenia wolności</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wykonujący karę ograniczenia wolności</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odroczenie przed rozpoczęciem; przerwa w toku wykonywania</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odroczenie: 80 zł; przerwa w ograniczeniu wolności — potwierdź w sądzie, gdyż art. 15 wymienia wprost przerwę w pozbawieniu wolności lub areszcie</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26</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Zmiana obowiązków, liczby godzin albo potrąceń</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wykonujący karę ograniczenia wolności</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w okresie wykonywania kary</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 wskazanej dla tego wniosku</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27</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Zmiana formy obowiązku pracy</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wykonujący karę ograniczenia wolności</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w toku wykonywania kary</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 wskazanej dla tego wniosku</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28</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Rozliczanie godzin pracy w okresach innych niż miesięczne</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wykonujący karę; jednorazowo do 6 miesięcy podobną decyzję może podjąć kurator w granicach art. 63c KKW</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przed okresem, którego ma dotyczyć zmiana</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29</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Wstrzymanie zastępczej kary pozbawienia wolności</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który zarządził lub wykonuje zastępczą karę pozbawienia wolności</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w każdym czasie, ale praktycznie niezwłocznie po postanowieniu; nie czekaj na zatrzymanie</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w:t>
            </w:r>
          </w:p>
        </w:tc>
      </w:tr>
      <w:tr>
        <w:trPr>
          <w:cantSplit/>
        </w:trPr>
        <w:tc>
          <w:tcPr>
            <w:tcW w:type="dxa" w:w="567"/>
            <w:tcMar>
              <w:top w:w="90" w:type="dxa"/>
              <w:start w:w="90" w:type="dxa"/>
              <w:bottom w:w="90" w:type="dxa"/>
              <w:end w:w="90" w:type="dxa"/>
            </w:tcMar>
            <w:shd w:fill="F6F8F7"/>
          </w:tcPr>
          <w:p>
            <w:pPr>
              <w:spacing w:after="0" w:line="240" w:lineRule="auto"/>
            </w:pPr>
            <w:r>
              <w:rPr>
                <w:rFonts w:ascii="Liberation Sans" w:hAnsi="Liberation Sans" w:eastAsia="Liberation Sans"/>
                <w:b/>
                <w:color w:val="7F2838"/>
                <w:sz w:val="18"/>
              </w:rPr>
              <w:t>30</w:t>
            </w:r>
          </w:p>
        </w:tc>
        <w:tc>
          <w:tcPr>
            <w:tcW w:type="dxa" w:w="3175"/>
            <w:tcMar>
              <w:top w:w="90" w:type="dxa"/>
              <w:start w:w="90" w:type="dxa"/>
              <w:bottom w:w="90" w:type="dxa"/>
              <w:end w:w="90" w:type="dxa"/>
            </w:tcMar>
            <w:shd w:fill="F6F8F7"/>
          </w:tcPr>
          <w:p>
            <w:pPr>
              <w:spacing w:after="0" w:line="240" w:lineRule="auto"/>
            </w:pPr>
            <w:r>
              <w:rPr>
                <w:rFonts w:ascii="Liberation Serif" w:hAnsi="Liberation Serif" w:eastAsia="Liberation Serif"/>
                <w:sz w:val="19"/>
              </w:rPr>
              <w:t>Środki karne — blokada alkoholowa i wcześniejsze uznanie za wykonany</w:t>
            </w:r>
          </w:p>
        </w:tc>
        <w:tc>
          <w:tcPr>
            <w:tcW w:type="dxa" w:w="2438"/>
            <w:tcMar>
              <w:top w:w="90" w:type="dxa"/>
              <w:start w:w="90" w:type="dxa"/>
              <w:bottom w:w="90" w:type="dxa"/>
              <w:end w:w="90" w:type="dxa"/>
            </w:tcMar>
            <w:shd w:fill="F6F8F7"/>
          </w:tcPr>
          <w:p>
            <w:pPr>
              <w:spacing w:after="0" w:line="240" w:lineRule="auto"/>
            </w:pPr>
            <w:r>
              <w:rPr>
                <w:rFonts w:ascii="Liberation Sans" w:hAnsi="Liberation Sans" w:eastAsia="Liberation Sans"/>
                <w:sz w:val="18"/>
              </w:rPr>
              <w:t>sąd właściwy w postępowaniu wykonawczym</w:t>
            </w:r>
          </w:p>
        </w:tc>
        <w:tc>
          <w:tcPr>
            <w:tcW w:type="dxa" w:w="1757"/>
            <w:tcMar>
              <w:top w:w="90" w:type="dxa"/>
              <w:start w:w="90" w:type="dxa"/>
              <w:bottom w:w="90" w:type="dxa"/>
              <w:end w:w="90" w:type="dxa"/>
            </w:tcMar>
            <w:shd w:fill="F6F8F7"/>
          </w:tcPr>
          <w:p>
            <w:pPr>
              <w:spacing w:after="0" w:line="240" w:lineRule="auto"/>
            </w:pPr>
            <w:r>
              <w:rPr>
                <w:rFonts w:ascii="Liberation Sans" w:hAnsi="Liberation Sans" w:eastAsia="Liberation Sans"/>
                <w:sz w:val="18"/>
              </w:rPr>
              <w:t>po osiągnięciu właściwego minimum ustawowego</w:t>
            </w:r>
          </w:p>
        </w:tc>
        <w:tc>
          <w:tcPr>
            <w:tcW w:type="dxa" w:w="1474"/>
            <w:tcMar>
              <w:top w:w="90" w:type="dxa"/>
              <w:start w:w="90" w:type="dxa"/>
              <w:bottom w:w="90" w:type="dxa"/>
              <w:end w:w="90" w:type="dxa"/>
            </w:tcMar>
            <w:shd w:fill="F6F8F7"/>
          </w:tcPr>
          <w:p>
            <w:pPr>
              <w:spacing w:after="0" w:line="240" w:lineRule="auto"/>
            </w:pPr>
            <w:r>
              <w:rPr>
                <w:rFonts w:ascii="Liberation Sans" w:hAnsi="Liberation Sans" w:eastAsia="Liberation Sans"/>
                <w:sz w:val="18"/>
              </w:rPr>
              <w:t>wniosek o zwolnienie z reszty środka karnego: 45 zł; przy art. 182a potwierdź praktykę opłat w sądzie</w:t>
            </w:r>
          </w:p>
        </w:tc>
      </w:tr>
      <w:tr>
        <w:trPr>
          <w:cantSplit/>
        </w:trPr>
        <w:tc>
          <w:tcPr>
            <w:tcW w:type="dxa" w:w="567"/>
            <w:tcMar>
              <w:top w:w="90" w:type="dxa"/>
              <w:start w:w="90" w:type="dxa"/>
              <w:bottom w:w="90" w:type="dxa"/>
              <w:end w:w="90" w:type="dxa"/>
            </w:tcMar>
          </w:tcPr>
          <w:p>
            <w:pPr>
              <w:spacing w:after="0" w:line="240" w:lineRule="auto"/>
            </w:pPr>
            <w:r>
              <w:rPr>
                <w:rFonts w:ascii="Liberation Sans" w:hAnsi="Liberation Sans" w:eastAsia="Liberation Sans"/>
                <w:b/>
                <w:color w:val="7F2838"/>
                <w:sz w:val="18"/>
              </w:rPr>
              <w:t>31</w:t>
            </w:r>
          </w:p>
        </w:tc>
        <w:tc>
          <w:tcPr>
            <w:tcW w:type="dxa" w:w="3175"/>
            <w:tcMar>
              <w:top w:w="90" w:type="dxa"/>
              <w:start w:w="90" w:type="dxa"/>
              <w:bottom w:w="90" w:type="dxa"/>
              <w:end w:w="90" w:type="dxa"/>
            </w:tcMar>
          </w:tcPr>
          <w:p>
            <w:pPr>
              <w:spacing w:after="0" w:line="240" w:lineRule="auto"/>
            </w:pPr>
            <w:r>
              <w:rPr>
                <w:rFonts w:ascii="Liberation Serif" w:hAnsi="Liberation Serif" w:eastAsia="Liberation Serif"/>
                <w:sz w:val="19"/>
              </w:rPr>
              <w:t>Okres próby i dozór — cztery pisma</w:t>
            </w:r>
          </w:p>
        </w:tc>
        <w:tc>
          <w:tcPr>
            <w:tcW w:type="dxa" w:w="2438"/>
            <w:tcMar>
              <w:top w:w="90" w:type="dxa"/>
              <w:start w:w="90" w:type="dxa"/>
              <w:bottom w:w="90" w:type="dxa"/>
              <w:end w:w="90" w:type="dxa"/>
            </w:tcMar>
          </w:tcPr>
          <w:p>
            <w:pPr>
              <w:spacing w:after="0" w:line="240" w:lineRule="auto"/>
            </w:pPr>
            <w:r>
              <w:rPr>
                <w:rFonts w:ascii="Liberation Sans" w:hAnsi="Liberation Sans" w:eastAsia="Liberation Sans"/>
                <w:sz w:val="18"/>
              </w:rPr>
              <w:t>sąd właściwy według rodzaju próby i miejsca stałego pobytu/dozoru</w:t>
            </w:r>
          </w:p>
        </w:tc>
        <w:tc>
          <w:tcPr>
            <w:tcW w:type="dxa" w:w="1757"/>
            <w:tcMar>
              <w:top w:w="90" w:type="dxa"/>
              <w:start w:w="90" w:type="dxa"/>
              <w:bottom w:w="90" w:type="dxa"/>
              <w:end w:w="90" w:type="dxa"/>
            </w:tcMar>
          </w:tcPr>
          <w:p>
            <w:pPr>
              <w:spacing w:after="0" w:line="240" w:lineRule="auto"/>
            </w:pPr>
            <w:r>
              <w:rPr>
                <w:rFonts w:ascii="Liberation Sans" w:hAnsi="Liberation Sans" w:eastAsia="Liberation Sans"/>
                <w:sz w:val="18"/>
              </w:rPr>
              <w:t>modyfikacja — w okresie próby; stanowisko — przed posiedzeniem; zażalenie — co do zasady 7 dni</w:t>
            </w:r>
          </w:p>
        </w:tc>
        <w:tc>
          <w:tcPr>
            <w:tcW w:type="dxa" w:w="1474"/>
            <w:tcMar>
              <w:top w:w="90" w:type="dxa"/>
              <w:start w:w="90" w:type="dxa"/>
              <w:bottom w:w="90" w:type="dxa"/>
              <w:end w:w="90" w:type="dxa"/>
            </w:tcMar>
          </w:tcPr>
          <w:p>
            <w:pPr>
              <w:spacing w:after="0" w:line="240" w:lineRule="auto"/>
            </w:pPr>
            <w:r>
              <w:rPr>
                <w:rFonts w:ascii="Liberation Sans" w:hAnsi="Liberation Sans" w:eastAsia="Liberation Sans"/>
                <w:sz w:val="18"/>
              </w:rPr>
              <w:t>brak opłaty wskazanej dla tych pism</w:t>
            </w:r>
          </w:p>
        </w:tc>
      </w:tr>
    </w:tbl>
    <w:p>
      <w:pPr>
        <w:pStyle w:val="Blok–odstęp"/>
      </w:pPr>
    </w:p>
    <w:p>
      <w:pPr>
        <w:pStyle w:val="Heading1"/>
      </w:pPr>
      <w:r>
        <w:t>Jak rozumieć oznaczenia w plikach</w:t>
      </w:r>
    </w:p>
    <w:p>
      <w:pPr>
        <w:pStyle w:val="Pismo–treść"/>
      </w:pPr>
      <w:r>
        <w:rPr>
          <w:b/>
        </w:rPr>
        <w:t xml:space="preserve">Czerwony nawias </w:t>
      </w:r>
      <w:r>
        <w:rPr>
          <w:rFonts w:ascii="Liberation Sans" w:hAnsi="Liberation Sans" w:eastAsia="Liberation Sans"/>
          <w:b w:val="0"/>
          <w:color w:val="A62134"/>
        </w:rPr>
        <w:t>[WYPEŁNIJ: opis danych]</w:t>
      </w:r>
      <w:r>
        <w:t xml:space="preserve"> oznacza miejsce, które trzeba zastąpić własną treścią. Po uzupełnieniu usuń cały nawias i czerwony tekst.</w:t>
      </w:r>
    </w:p>
    <w:p>
      <w:pPr>
        <w:pStyle w:val="Instrukcja–punkt"/>
      </w:pPr>
      <w:r>
        <w:rPr>
          <w:b/>
          <w:color w:val="7F2838"/>
        </w:rPr>
        <w:t xml:space="preserve">•  </w:t>
      </w:r>
      <w:r>
        <w:t>Ukośnik „/” oznacza wariant. Zostaw tylko część pasującą do sprawy.</w:t>
      </w:r>
    </w:p>
    <w:p>
      <w:pPr>
        <w:pStyle w:val="Instrukcja–punkt"/>
      </w:pPr>
      <w:r>
        <w:rPr>
          <w:b/>
          <w:color w:val="7F2838"/>
        </w:rPr>
        <w:t xml:space="preserve">•  </w:t>
      </w:r>
      <w:r>
        <w:t>Słowo „ewentualnie” oznacza żądanie zapasowe rozpoznawane wtedy, gdy sąd nie uwzględni żądania głównego. Nie używaj go mechanicznie.</w:t>
      </w:r>
    </w:p>
    <w:p>
      <w:pPr>
        <w:pStyle w:val="Instrukcja–punkt"/>
      </w:pPr>
      <w:r>
        <w:rPr>
          <w:b/>
          <w:color w:val="7F2838"/>
        </w:rPr>
        <w:t xml:space="preserve">•  </w:t>
      </w:r>
      <w:r>
        <w:t>Nawias z ostrzeżeniem trzeba usunąć wraz z wariantem, który nie dotyczy sprawy.</w:t>
      </w:r>
    </w:p>
    <w:p>
      <w:pPr>
        <w:pStyle w:val="Heading1"/>
      </w:pPr>
      <w:r>
        <w:t>Źródła i wersja</w:t>
      </w:r>
    </w:p>
    <w:p>
      <w:r>
        <w:t>Podstawy: KKW (Dz.U. z 2026 r. poz. 1307), KK (Dz.U. z 2026 r. poz. 1342) i ustawa o opłatach w sprawach karnych (Dz.U. z 2023 r. poz. 123). Instrukcje zweryfikowano 28 października 2026 r.. Przed użyciem sprawdź aktualny tekst ustaw. Materiał informacyjny — stan prawny i fakty konkretnej sprawy wymagają odrębnej weryfikacji; wzory nie są indywidualną poradą prawną i nie zastępują analizy akt.</w:t>
      </w:r>
    </w:p>
    <w:sectPr w:rsidR="00FC693F" w:rsidRPr="0006063C" w:rsidSect="00034616">
      <w:headerReference w:type="default" r:id="rId9"/>
      <w:footerReference w:type="default" r:id="rId10"/>
      <w:pgSz w:w="11906" w:h="16838"/>
      <w:pgMar w:top="1020" w:right="1247" w:bottom="964"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olor w:val="545E5D"/>
        <w:sz w:val="16"/>
      </w:rPr>
      <w:t xml:space="preserve">Materiał ogólny · stan prawny zweryfikowany 28 października 2026 r. · nie zastępuje analizy konkretnej sprawy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5" w:color="1F4B43"/>
      </w:pBdr>
    </w:pPr>
    <w:r>
      <w:rPr>
        <w:rFonts w:ascii="Liberation Sans" w:hAnsi="Liberation Sans" w:eastAsia="Liberation Sans"/>
        <w:b/>
        <w:color w:val="1F4B43"/>
        <w:sz w:val="16"/>
      </w:rPr>
      <w:t>KANCELARIA ADWOKACKA  ·  ADW. ANNA MARCINKOWSKA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4" w:lineRule="auto"/>
    </w:pPr>
    <w:rPr>
      <w:rFonts w:ascii="Liberation Serif" w:hAnsi="Liberation Serif" w:eastAsia="Liberation Serif"/>
      <w:color w:val="1C232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Liberation Sans" w:hAnsi="Liberation Sans" w:eastAsia="Liberation Sans"/>
      <w:b/>
      <w:bCs/>
      <w:color w:val="1F4B43"/>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Liberation Sans" w:hAnsi="Liberation Sans" w:eastAsia="Liberation Sans"/>
      <w:b/>
      <w:bCs/>
      <w:color w:val="7F2838"/>
      <w:sz w:val="29"/>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Liberation Sans" w:hAnsi="Liberation Sans" w:eastAsia="Liberation Sans"/>
      <w:b/>
      <w:bCs/>
      <w:color w:val="1F4B43"/>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300" w:line="240" w:lineRule="auto" w:before="0"/>
      <w:contextualSpacing/>
    </w:pPr>
    <w:rPr>
      <w:rFonts w:asciiTheme="majorHAnsi" w:eastAsiaTheme="majorEastAsia" w:hAnsiTheme="majorHAnsi" w:cstheme="majorBidi" w:ascii="Liberation Sans" w:hAnsi="Liberation Sans" w:eastAsia="Liberation Sans"/>
      <w:b/>
      <w:color w:val="1F4B43"/>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kcja–punkt">
    <w:name w:val="Instrukcja – punkt"/>
    <w:basedOn w:val="Normal"/>
    <w:pPr>
      <w:spacing w:after="80"/>
      <w:ind w:left="283" w:hanging="283"/>
    </w:pPr>
  </w:style>
  <w:style w:type="paragraph" w:customStyle="1" w:styleId="Pismo–treść">
    <w:name w:val="Pismo – treść"/>
    <w:basedOn w:val="Normal"/>
    <w:pPr>
      <w:spacing w:line="283" w:lineRule="auto" w:after="160"/>
    </w:pPr>
    <w:rPr>
      <w:sz w:val="24"/>
    </w:rPr>
  </w:style>
  <w:style w:type="paragraph" w:customStyle="1" w:styleId="Pismo–małe">
    <w:name w:val="Pismo – małe"/>
    <w:basedOn w:val="Normal"/>
    <w:rPr>
      <w:color w:val="545E5D"/>
      <w:sz w:val="22"/>
    </w:rPr>
  </w:style>
  <w:style w:type="paragraph" w:customStyle="1" w:styleId="Etykieta">
    <w:name w:val="Etykieta"/>
    <w:basedOn w:val="Normal"/>
    <w:pPr>
      <w:spacing w:after="60"/>
    </w:pPr>
    <w:rPr>
      <w:rFonts w:ascii="Liberation Sans" w:hAnsi="Liberation Sans" w:eastAsia="Liberation Sans"/>
      <w:b/>
      <w:color w:val="1F4B43"/>
      <w:sz w:val="19"/>
    </w:rPr>
  </w:style>
  <w:style w:type="paragraph" w:customStyle="1" w:styleId="Blok–odstęp">
    <w:name w:val="Blok – odstęp"/>
    <w:basedOn w:val="Normal"/>
    <w:pPr>
      <w:spacing w:lineRule="exact" w:line="20" w:before="170" w:after="170"/>
    </w:pPr>
    <w:rPr>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Przewodnik po wzorach — postępowanie wykonawcze</dc:title>
  <dc:subject>Wzór pisma w postępowaniu wykonawczym z instrukcją</dc:subject>
  <dc:creator>Kancelaria Adwokacka adw. Anna Marcinkowska</dc:creator>
  <cp:keywords>postępowanie wykonawcze, KKW, wzór pisma, instrukcja</cp:keywords>
  <dc:description>generated by python-docx</dc:description>
  <cp:lastModifiedBy/>
  <cp:revision>1</cp:revision>
  <dcterms:created xsi:type="dcterms:W3CDTF">2013-12-23T23:15:00Z</dcterms:created>
  <dcterms:modified xsi:type="dcterms:W3CDTF">2013-12-23T23:15:00Z</dcterms:modified>
  <cp:category/>
</cp:coreProperties>
</file>